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963EF">
      <w:pPr>
        <w:jc w:val="center"/>
        <w:rPr>
          <w:rFonts w:hint="eastAsia"/>
          <w:sz w:val="36"/>
          <w:szCs w:val="36"/>
          <w:lang w:val="en-US" w:eastAsia="zh-CN"/>
        </w:rPr>
      </w:pPr>
      <w:r>
        <w:rPr>
          <w:rFonts w:hint="eastAsia"/>
          <w:sz w:val="36"/>
          <w:szCs w:val="36"/>
          <w:lang w:val="en-US" w:eastAsia="zh-CN"/>
        </w:rPr>
        <w:t>兰州现代职业学院招标代理机构遴选采购需求</w:t>
      </w:r>
    </w:p>
    <w:p w14:paraId="3F1861D8">
      <w:pPr>
        <w:numPr>
          <w:ilvl w:val="0"/>
          <w:numId w:val="0"/>
        </w:numPr>
        <w:spacing w:line="360" w:lineRule="auto"/>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一、资格要求</w:t>
      </w:r>
    </w:p>
    <w:p w14:paraId="11D6FB17">
      <w:pPr>
        <w:tabs>
          <w:tab w:val="left" w:pos="420"/>
        </w:tabs>
        <w:spacing w:line="360" w:lineRule="auto"/>
        <w:ind w:firstLine="640" w:firstLineChars="200"/>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1、投标人</w:t>
      </w:r>
      <w:r>
        <w:rPr>
          <w:rFonts w:hint="eastAsia" w:ascii="仿宋_GB2312" w:hAnsi="仿宋_GB2312" w:eastAsia="仿宋_GB2312" w:cs="仿宋_GB2312"/>
          <w:color w:val="auto"/>
          <w:sz w:val="32"/>
          <w:szCs w:val="32"/>
        </w:rPr>
        <w:t>须为在中华人民共和国境内注册的独立法人，</w:t>
      </w:r>
      <w:r>
        <w:rPr>
          <w:rFonts w:hint="eastAsia" w:ascii="仿宋_GB2312" w:hAnsi="仿宋_GB2312" w:eastAsia="仿宋_GB2312" w:cs="仿宋_GB2312"/>
          <w:color w:val="auto"/>
          <w:sz w:val="32"/>
          <w:szCs w:val="32"/>
          <w:lang w:val="zh-CN"/>
        </w:rPr>
        <w:t>提供具有统一社会信用代码的营业执照（复印件加盖公章）；</w:t>
      </w:r>
    </w:p>
    <w:p w14:paraId="76E8CA80">
      <w:pPr>
        <w:tabs>
          <w:tab w:val="left" w:pos="420"/>
        </w:tabs>
        <w:spacing w:line="36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2、投标人提供2024年度</w:t>
      </w:r>
      <w:r>
        <w:rPr>
          <w:rFonts w:hint="eastAsia" w:ascii="仿宋_GB2312" w:hAnsi="仿宋_GB2312" w:eastAsia="仿宋_GB2312" w:cs="仿宋_GB2312"/>
          <w:color w:val="auto"/>
          <w:sz w:val="32"/>
          <w:szCs w:val="32"/>
        </w:rPr>
        <w:t>完整的财务审计报告（复印件加盖公章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未完成审计</w:t>
      </w:r>
      <w:r>
        <w:rPr>
          <w:rFonts w:hint="eastAsia" w:ascii="仿宋_GB2312" w:hAnsi="仿宋_GB2312" w:eastAsia="仿宋_GB2312" w:cs="仿宋_GB2312"/>
          <w:color w:val="auto"/>
          <w:sz w:val="32"/>
          <w:szCs w:val="32"/>
        </w:rPr>
        <w:t>须提供</w:t>
      </w:r>
      <w:r>
        <w:rPr>
          <w:rFonts w:hint="eastAsia" w:ascii="仿宋_GB2312" w:hAnsi="仿宋_GB2312" w:eastAsia="仿宋_GB2312" w:cs="仿宋_GB2312"/>
          <w:color w:val="auto"/>
          <w:sz w:val="32"/>
          <w:szCs w:val="32"/>
          <w:lang w:eastAsia="zh-CN"/>
        </w:rPr>
        <w:t>近期</w:t>
      </w:r>
      <w:r>
        <w:rPr>
          <w:rFonts w:hint="eastAsia" w:ascii="仿宋_GB2312" w:hAnsi="仿宋_GB2312" w:eastAsia="仿宋_GB2312" w:cs="仿宋_GB2312"/>
          <w:color w:val="auto"/>
          <w:sz w:val="32"/>
          <w:szCs w:val="32"/>
        </w:rPr>
        <w:t>银行资信证明</w:t>
      </w:r>
      <w:r>
        <w:rPr>
          <w:rFonts w:hint="eastAsia" w:ascii="仿宋_GB2312" w:hAnsi="仿宋_GB2312" w:eastAsia="仿宋_GB2312" w:cs="仿宋_GB2312"/>
          <w:color w:val="auto"/>
          <w:sz w:val="32"/>
          <w:szCs w:val="32"/>
          <w:lang w:eastAsia="zh-CN"/>
        </w:rPr>
        <w:t>原件）；</w:t>
      </w:r>
    </w:p>
    <w:p w14:paraId="5E20DC4F">
      <w:pPr>
        <w:tabs>
          <w:tab w:val="left" w:pos="420"/>
        </w:tabs>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投</w:t>
      </w:r>
      <w:r>
        <w:rPr>
          <w:rFonts w:hint="eastAsia" w:ascii="仿宋_GB2312" w:hAnsi="仿宋_GB2312" w:eastAsia="仿宋_GB2312" w:cs="仿宋_GB2312"/>
          <w:color w:val="auto"/>
          <w:sz w:val="32"/>
          <w:szCs w:val="32"/>
        </w:rPr>
        <w:t>标截止日前近</w:t>
      </w:r>
      <w:r>
        <w:rPr>
          <w:rFonts w:hint="eastAsia" w:ascii="仿宋_GB2312" w:hAnsi="仿宋_GB2312" w:eastAsia="仿宋_GB2312" w:cs="仿宋_GB2312"/>
          <w:color w:val="auto"/>
          <w:sz w:val="32"/>
          <w:szCs w:val="32"/>
          <w:lang w:val="en-US" w:eastAsia="zh-CN"/>
        </w:rPr>
        <w:t>半</w:t>
      </w:r>
      <w:r>
        <w:rPr>
          <w:rFonts w:hint="eastAsia" w:ascii="仿宋_GB2312" w:hAnsi="仿宋_GB2312" w:eastAsia="仿宋_GB2312" w:cs="仿宋_GB2312"/>
          <w:color w:val="auto"/>
          <w:sz w:val="32"/>
          <w:szCs w:val="32"/>
        </w:rPr>
        <w:t>年内缴纳的任意一个月的任意一项税种（增值税、企业所得税等）的完税证明</w:t>
      </w:r>
      <w:r>
        <w:rPr>
          <w:rFonts w:hint="eastAsia" w:ascii="仿宋_GB2312" w:hAnsi="仿宋_GB2312" w:eastAsia="仿宋_GB2312" w:cs="仿宋_GB2312"/>
          <w:color w:val="auto"/>
          <w:sz w:val="32"/>
          <w:szCs w:val="32"/>
          <w:lang w:eastAsia="zh-CN"/>
        </w:rPr>
        <w:t>或缴纳凭证</w:t>
      </w:r>
      <w:r>
        <w:rPr>
          <w:rFonts w:hint="eastAsia" w:ascii="仿宋_GB2312" w:hAnsi="仿宋_GB2312" w:eastAsia="仿宋_GB2312" w:cs="仿宋_GB2312"/>
          <w:color w:val="auto"/>
          <w:sz w:val="32"/>
          <w:szCs w:val="32"/>
        </w:rPr>
        <w:t>（未达到起征点的企业，须提供增值税或企业所得税纳税申报表）；依法免税的投标人，应提供相应的证明文件（复印件加盖公章）。</w:t>
      </w:r>
    </w:p>
    <w:p w14:paraId="27F8C5E5">
      <w:pPr>
        <w:tabs>
          <w:tab w:val="left" w:pos="420"/>
        </w:tabs>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提供投标截止日前近</w:t>
      </w:r>
      <w:r>
        <w:rPr>
          <w:rFonts w:hint="eastAsia" w:ascii="仿宋_GB2312" w:hAnsi="仿宋_GB2312" w:eastAsia="仿宋_GB2312" w:cs="仿宋_GB2312"/>
          <w:color w:val="auto"/>
          <w:sz w:val="32"/>
          <w:szCs w:val="32"/>
          <w:lang w:val="en-US" w:eastAsia="zh-CN"/>
        </w:rPr>
        <w:t>半</w:t>
      </w:r>
      <w:r>
        <w:rPr>
          <w:rFonts w:hint="eastAsia" w:ascii="仿宋_GB2312" w:hAnsi="仿宋_GB2312" w:eastAsia="仿宋_GB2312" w:cs="仿宋_GB2312"/>
          <w:color w:val="auto"/>
          <w:sz w:val="32"/>
          <w:szCs w:val="32"/>
        </w:rPr>
        <w:t>年内任意一个月的缴纳社会保障资金的完税证明</w:t>
      </w:r>
      <w:r>
        <w:rPr>
          <w:rFonts w:hint="eastAsia" w:ascii="仿宋_GB2312" w:hAnsi="仿宋_GB2312" w:eastAsia="仿宋_GB2312" w:cs="仿宋_GB2312"/>
          <w:color w:val="auto"/>
          <w:sz w:val="32"/>
          <w:szCs w:val="32"/>
          <w:lang w:eastAsia="zh-CN"/>
        </w:rPr>
        <w:t>或缴纳凭证</w:t>
      </w:r>
      <w:r>
        <w:rPr>
          <w:rFonts w:hint="eastAsia" w:ascii="仿宋_GB2312" w:hAnsi="仿宋_GB2312" w:eastAsia="仿宋_GB2312" w:cs="仿宋_GB2312"/>
          <w:color w:val="auto"/>
          <w:sz w:val="32"/>
          <w:szCs w:val="32"/>
        </w:rPr>
        <w:t>（复印件加盖公章），依法不需要缴纳社会保障资金的投标人，应提供相应的证明文件。</w:t>
      </w:r>
    </w:p>
    <w:p w14:paraId="662F9F02">
      <w:pPr>
        <w:tabs>
          <w:tab w:val="left" w:pos="420"/>
        </w:tabs>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参加政府采购活动前3年内在经营活动中没有重大违法记录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000000"/>
          <w:spacing w:val="0"/>
          <w:sz w:val="32"/>
          <w:szCs w:val="32"/>
        </w:rPr>
        <w:t>没有被暂停过政府采购代理业务（提供声明函）</w:t>
      </w:r>
      <w:r>
        <w:rPr>
          <w:rFonts w:hint="eastAsia" w:ascii="仿宋_GB2312" w:hAnsi="仿宋_GB2312" w:eastAsia="仿宋_GB2312" w:cs="仿宋_GB2312"/>
          <w:color w:val="auto"/>
          <w:sz w:val="32"/>
          <w:szCs w:val="32"/>
        </w:rPr>
        <w:t>。</w:t>
      </w:r>
    </w:p>
    <w:p w14:paraId="1E9BB89F">
      <w:pPr>
        <w:tabs>
          <w:tab w:val="left" w:pos="420"/>
        </w:tabs>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投标人未被列入“信用中国”网站(www.creditchina.gov.cn)记录失信被执行人或重大税收违法案件当事人名单；不处于中国政府采购网(www.ccgp.gov.cn)政府采购严重违法失信行为信息记录</w:t>
      </w:r>
      <w:r>
        <w:rPr>
          <w:rFonts w:hint="eastAsia" w:ascii="仿宋_GB2312" w:hAnsi="仿宋_GB2312" w:eastAsia="仿宋_GB2312" w:cs="仿宋_GB2312"/>
          <w:color w:val="auto"/>
          <w:sz w:val="32"/>
          <w:szCs w:val="32"/>
          <w:lang w:eastAsia="zh-CN"/>
        </w:rPr>
        <w:t>名单</w:t>
      </w:r>
      <w:r>
        <w:rPr>
          <w:rFonts w:hint="eastAsia" w:ascii="仿宋_GB2312" w:hAnsi="仿宋_GB2312" w:eastAsia="仿宋_GB2312" w:cs="仿宋_GB2312"/>
          <w:color w:val="auto"/>
          <w:sz w:val="32"/>
          <w:szCs w:val="32"/>
        </w:rPr>
        <w:t>中的禁止参加政府采购活动期间的方可参加本项目的投标（查询以本项目招标公告发布之日起至投标截止日前）在“信用中国”网站（www.creditchina.gov.cn）、中国政府采购网(www.ccgp.gov.cn)查询结果为准（</w:t>
      </w:r>
      <w:r>
        <w:rPr>
          <w:rFonts w:hint="eastAsia" w:ascii="仿宋_GB2312" w:hAnsi="仿宋_GB2312" w:eastAsia="仿宋_GB2312" w:cs="仿宋_GB2312"/>
          <w:color w:val="auto"/>
          <w:sz w:val="32"/>
          <w:szCs w:val="32"/>
          <w:lang w:eastAsia="zh-CN"/>
        </w:rPr>
        <w:t>提供以上相关网站截图且显示查询时间</w:t>
      </w:r>
      <w:r>
        <w:rPr>
          <w:rFonts w:hint="eastAsia" w:ascii="仿宋_GB2312" w:hAnsi="仿宋_GB2312" w:eastAsia="仿宋_GB2312" w:cs="仿宋_GB2312"/>
          <w:color w:val="auto"/>
          <w:sz w:val="32"/>
          <w:szCs w:val="32"/>
        </w:rPr>
        <w:t>），如相关失信记录已失效，投标人需提供相关证明资料。</w:t>
      </w:r>
    </w:p>
    <w:p w14:paraId="026745AC">
      <w:pPr>
        <w:tabs>
          <w:tab w:val="left" w:pos="420"/>
        </w:tabs>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供应商</w:t>
      </w:r>
      <w:r>
        <w:rPr>
          <w:rFonts w:hint="eastAsia" w:ascii="仿宋_GB2312" w:hAnsi="仿宋_GB2312" w:eastAsia="仿宋_GB2312" w:cs="仿宋_GB2312"/>
          <w:color w:val="auto"/>
          <w:sz w:val="32"/>
          <w:szCs w:val="32"/>
        </w:rPr>
        <w:t>须</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i w:val="0"/>
          <w:iCs w:val="0"/>
          <w:caps w:val="0"/>
          <w:color w:val="000000"/>
          <w:spacing w:val="0"/>
          <w:sz w:val="32"/>
          <w:szCs w:val="32"/>
          <w:lang w:eastAsia="zh-CN"/>
        </w:rPr>
        <w:t>为“甘肃省政府采购网”登记并审核通过的代理机构</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eastAsia="zh-CN"/>
        </w:rPr>
        <w:t>甘肃省</w:t>
      </w:r>
      <w:r>
        <w:rPr>
          <w:rFonts w:hint="eastAsia" w:ascii="仿宋_GB2312" w:hAnsi="仿宋_GB2312" w:eastAsia="仿宋_GB2312" w:cs="仿宋_GB2312"/>
          <w:color w:val="auto"/>
          <w:sz w:val="32"/>
          <w:szCs w:val="32"/>
        </w:rPr>
        <w:t>政府采购网官网截图）；</w:t>
      </w:r>
    </w:p>
    <w:p w14:paraId="4A86275B">
      <w:pPr>
        <w:tabs>
          <w:tab w:val="left" w:pos="420"/>
        </w:tabs>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i w:val="0"/>
          <w:iCs w:val="0"/>
          <w:caps w:val="0"/>
          <w:color w:val="000000"/>
          <w:spacing w:val="0"/>
          <w:sz w:val="32"/>
          <w:szCs w:val="32"/>
        </w:rPr>
        <w:t>要求在兰州市内</w:t>
      </w:r>
      <w:r>
        <w:rPr>
          <w:rFonts w:hint="eastAsia" w:ascii="仿宋_GB2312" w:hAnsi="仿宋_GB2312" w:eastAsia="仿宋_GB2312" w:cs="仿宋_GB2312"/>
          <w:i w:val="0"/>
          <w:iCs w:val="0"/>
          <w:caps w:val="0"/>
          <w:color w:val="000000"/>
          <w:spacing w:val="0"/>
          <w:sz w:val="32"/>
          <w:szCs w:val="32"/>
          <w:lang w:eastAsia="zh-CN"/>
        </w:rPr>
        <w:t>有</w:t>
      </w:r>
      <w:r>
        <w:rPr>
          <w:rFonts w:hint="eastAsia" w:ascii="仿宋_GB2312" w:hAnsi="仿宋_GB2312" w:eastAsia="仿宋_GB2312" w:cs="仿宋_GB2312"/>
          <w:i w:val="0"/>
          <w:iCs w:val="0"/>
          <w:caps w:val="0"/>
          <w:color w:val="000000"/>
          <w:spacing w:val="0"/>
          <w:sz w:val="32"/>
          <w:szCs w:val="32"/>
        </w:rPr>
        <w:t>固定的办公场所和专属规范的开标</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评标</w:t>
      </w:r>
      <w:r>
        <w:rPr>
          <w:rFonts w:hint="eastAsia" w:ascii="仿宋_GB2312" w:hAnsi="仿宋_GB2312" w:eastAsia="仿宋_GB2312" w:cs="仿宋_GB2312"/>
          <w:i w:val="0"/>
          <w:iCs w:val="0"/>
          <w:caps w:val="0"/>
          <w:color w:val="000000"/>
          <w:spacing w:val="0"/>
          <w:sz w:val="32"/>
          <w:szCs w:val="32"/>
          <w:lang w:eastAsia="zh-CN"/>
        </w:rPr>
        <w:t>、档案资料</w:t>
      </w:r>
      <w:r>
        <w:rPr>
          <w:rFonts w:hint="eastAsia" w:ascii="仿宋_GB2312" w:hAnsi="仿宋_GB2312" w:eastAsia="仿宋_GB2312" w:cs="仿宋_GB2312"/>
          <w:i w:val="0"/>
          <w:iCs w:val="0"/>
          <w:caps w:val="0"/>
          <w:color w:val="000000"/>
          <w:spacing w:val="0"/>
          <w:sz w:val="32"/>
          <w:szCs w:val="32"/>
        </w:rPr>
        <w:t>室。</w:t>
      </w:r>
      <w:r>
        <w:rPr>
          <w:rFonts w:hint="eastAsia" w:ascii="仿宋_GB2312" w:hAnsi="仿宋_GB2312" w:eastAsia="仿宋_GB2312" w:cs="仿宋_GB2312"/>
          <w:i w:val="0"/>
          <w:iCs w:val="0"/>
          <w:caps w:val="0"/>
          <w:color w:val="000000"/>
          <w:spacing w:val="0"/>
          <w:sz w:val="32"/>
          <w:szCs w:val="32"/>
          <w:lang w:eastAsia="zh-CN"/>
        </w:rPr>
        <w:t>且</w:t>
      </w:r>
      <w:r>
        <w:rPr>
          <w:rFonts w:hint="eastAsia" w:ascii="仿宋_GB2312" w:hAnsi="仿宋_GB2312" w:eastAsia="仿宋_GB2312" w:cs="仿宋_GB2312"/>
          <w:i w:val="0"/>
          <w:iCs w:val="0"/>
          <w:caps w:val="0"/>
          <w:color w:val="000000"/>
          <w:spacing w:val="0"/>
          <w:sz w:val="32"/>
          <w:szCs w:val="32"/>
        </w:rPr>
        <w:t>具有履行业务所必需的硬件设备。（提供</w:t>
      </w:r>
      <w:r>
        <w:rPr>
          <w:rFonts w:hint="eastAsia" w:ascii="仿宋_GB2312" w:hAnsi="仿宋_GB2312" w:eastAsia="仿宋_GB2312" w:cs="仿宋_GB2312"/>
          <w:i w:val="0"/>
          <w:iCs w:val="0"/>
          <w:caps w:val="0"/>
          <w:color w:val="000000"/>
          <w:spacing w:val="0"/>
          <w:sz w:val="32"/>
          <w:szCs w:val="32"/>
          <w:lang w:eastAsia="zh-CN"/>
        </w:rPr>
        <w:t>办公场地</w:t>
      </w:r>
      <w:r>
        <w:rPr>
          <w:rFonts w:hint="eastAsia" w:ascii="仿宋_GB2312" w:hAnsi="仿宋_GB2312" w:eastAsia="仿宋_GB2312" w:cs="仿宋_GB2312"/>
          <w:i w:val="0"/>
          <w:iCs w:val="0"/>
          <w:caps w:val="0"/>
          <w:color w:val="000000"/>
          <w:spacing w:val="0"/>
          <w:sz w:val="32"/>
          <w:szCs w:val="32"/>
        </w:rPr>
        <w:t>租赁合同或产权证明，提供办公场所及开标</w:t>
      </w:r>
      <w:r>
        <w:rPr>
          <w:rFonts w:hint="eastAsia" w:ascii="仿宋_GB2312" w:hAnsi="仿宋_GB2312" w:eastAsia="仿宋_GB2312" w:cs="仿宋_GB2312"/>
          <w:i w:val="0"/>
          <w:iCs w:val="0"/>
          <w:caps w:val="0"/>
          <w:color w:val="000000"/>
          <w:spacing w:val="0"/>
          <w:sz w:val="32"/>
          <w:szCs w:val="32"/>
          <w:lang w:eastAsia="zh-CN"/>
        </w:rPr>
        <w:t>、</w:t>
      </w:r>
      <w:r>
        <w:rPr>
          <w:rFonts w:hint="eastAsia" w:ascii="仿宋_GB2312" w:hAnsi="仿宋_GB2312" w:eastAsia="仿宋_GB2312" w:cs="仿宋_GB2312"/>
          <w:i w:val="0"/>
          <w:iCs w:val="0"/>
          <w:caps w:val="0"/>
          <w:color w:val="000000"/>
          <w:spacing w:val="0"/>
          <w:sz w:val="32"/>
          <w:szCs w:val="32"/>
        </w:rPr>
        <w:t>评标室彩色图片，并能接受实地考察）。</w:t>
      </w:r>
    </w:p>
    <w:p w14:paraId="24B94408">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具有20</w:t>
      </w:r>
      <w:r>
        <w:rPr>
          <w:rFonts w:hint="eastAsia" w:ascii="仿宋_GB2312" w:hAnsi="仿宋_GB2312" w:eastAsia="仿宋_GB2312" w:cs="仿宋_GB2312"/>
          <w:i w:val="0"/>
          <w:iCs w:val="0"/>
          <w:caps w:val="0"/>
          <w:color w:val="000000"/>
          <w:spacing w:val="0"/>
          <w:sz w:val="32"/>
          <w:szCs w:val="32"/>
          <w:lang w:val="en-US" w:eastAsia="zh-CN"/>
        </w:rPr>
        <w:t>23</w:t>
      </w:r>
      <w:r>
        <w:rPr>
          <w:rFonts w:hint="eastAsia" w:ascii="仿宋_GB2312" w:hAnsi="仿宋_GB2312" w:eastAsia="仿宋_GB2312" w:cs="仿宋_GB2312"/>
          <w:i w:val="0"/>
          <w:iCs w:val="0"/>
          <w:caps w:val="0"/>
          <w:color w:val="000000"/>
          <w:spacing w:val="0"/>
          <w:sz w:val="32"/>
          <w:szCs w:val="32"/>
        </w:rPr>
        <w:t>年以来政府采购项目业绩</w:t>
      </w:r>
      <w:r>
        <w:rPr>
          <w:rFonts w:hint="eastAsia" w:ascii="仿宋_GB2312" w:hAnsi="仿宋_GB2312" w:eastAsia="仿宋_GB2312" w:cs="仿宋_GB2312"/>
          <w:i w:val="0"/>
          <w:iCs w:val="0"/>
          <w:caps w:val="0"/>
          <w:color w:val="000000"/>
          <w:spacing w:val="0"/>
          <w:sz w:val="32"/>
          <w:szCs w:val="32"/>
          <w:lang w:eastAsia="zh-CN"/>
        </w:rPr>
        <w:t>，有高校</w:t>
      </w:r>
      <w:r>
        <w:rPr>
          <w:rFonts w:hint="eastAsia" w:ascii="仿宋_GB2312" w:hAnsi="仿宋_GB2312" w:eastAsia="仿宋_GB2312" w:cs="仿宋_GB2312"/>
          <w:i w:val="0"/>
          <w:iCs w:val="0"/>
          <w:caps w:val="0"/>
          <w:color w:val="000000"/>
          <w:spacing w:val="0"/>
          <w:sz w:val="32"/>
          <w:szCs w:val="32"/>
        </w:rPr>
        <w:t>政府采购</w:t>
      </w:r>
      <w:r>
        <w:rPr>
          <w:rFonts w:hint="eastAsia" w:ascii="仿宋_GB2312" w:hAnsi="仿宋_GB2312" w:eastAsia="仿宋_GB2312" w:cs="仿宋_GB2312"/>
          <w:i w:val="0"/>
          <w:iCs w:val="0"/>
          <w:caps w:val="0"/>
          <w:color w:val="000000"/>
          <w:spacing w:val="0"/>
          <w:sz w:val="32"/>
          <w:szCs w:val="32"/>
          <w:lang w:eastAsia="zh-CN"/>
        </w:rPr>
        <w:t>服务经验</w:t>
      </w:r>
      <w:r>
        <w:rPr>
          <w:rFonts w:hint="eastAsia" w:ascii="仿宋_GB2312" w:hAnsi="仿宋_GB2312" w:eastAsia="仿宋_GB2312" w:cs="仿宋_GB2312"/>
          <w:i w:val="0"/>
          <w:iCs w:val="0"/>
          <w:caps w:val="0"/>
          <w:color w:val="000000"/>
          <w:spacing w:val="0"/>
          <w:sz w:val="32"/>
          <w:szCs w:val="32"/>
        </w:rPr>
        <w:t>。</w:t>
      </w:r>
    </w:p>
    <w:p w14:paraId="0F8E9AC2">
      <w:pPr>
        <w:pStyle w:val="2"/>
        <w:numPr>
          <w:ilvl w:val="0"/>
          <w:numId w:val="0"/>
        </w:numPr>
        <w:spacing w:line="360" w:lineRule="auto"/>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二、采购需求</w:t>
      </w:r>
    </w:p>
    <w:p w14:paraId="45FC22FF">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1.</w:t>
      </w:r>
      <w:r>
        <w:rPr>
          <w:rFonts w:hint="eastAsia" w:ascii="仿宋_GB2312" w:hAnsi="仿宋_GB2312" w:eastAsia="仿宋_GB2312" w:cs="仿宋_GB2312"/>
          <w:kern w:val="0"/>
          <w:sz w:val="32"/>
          <w:szCs w:val="32"/>
          <w:lang w:val="zh-CN" w:eastAsia="zh-CN" w:bidi="ar-SA"/>
        </w:rPr>
        <w:t>负责</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zh-CN" w:eastAsia="zh-CN" w:bidi="ar-SA"/>
        </w:rPr>
        <w:t>政府采购项目和委托</w:t>
      </w:r>
      <w:r>
        <w:rPr>
          <w:rFonts w:hint="eastAsia" w:ascii="仿宋_GB2312" w:hAnsi="仿宋_GB2312" w:eastAsia="仿宋_GB2312" w:cs="仿宋_GB2312"/>
          <w:kern w:val="0"/>
          <w:sz w:val="32"/>
          <w:szCs w:val="32"/>
          <w:lang w:val="en-US" w:eastAsia="zh-CN" w:bidi="ar-SA"/>
        </w:rPr>
        <w:t>场外</w:t>
      </w:r>
      <w:r>
        <w:rPr>
          <w:rFonts w:hint="eastAsia" w:ascii="仿宋_GB2312" w:hAnsi="仿宋_GB2312" w:eastAsia="仿宋_GB2312" w:cs="仿宋_GB2312"/>
          <w:kern w:val="0"/>
          <w:sz w:val="32"/>
          <w:szCs w:val="32"/>
          <w:lang w:val="zh-CN" w:eastAsia="zh-CN" w:bidi="ar-SA"/>
        </w:rPr>
        <w:t>的自行采购项目的代理招标工作，在委托的权限范围内依法开展代理招标工作，满足</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zh-CN" w:eastAsia="zh-CN" w:bidi="ar-SA"/>
        </w:rPr>
        <w:t>的采购需求。</w:t>
      </w:r>
    </w:p>
    <w:p w14:paraId="45B6A950">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highlight w:val="none"/>
          <w:lang w:val="zh-CN" w:eastAsia="zh-CN" w:bidi="ar-SA"/>
        </w:rPr>
      </w:pPr>
      <w:r>
        <w:rPr>
          <w:rFonts w:hint="eastAsia" w:ascii="仿宋_GB2312" w:hAnsi="仿宋_GB2312" w:eastAsia="仿宋_GB2312" w:cs="仿宋_GB2312"/>
          <w:kern w:val="0"/>
          <w:sz w:val="32"/>
          <w:szCs w:val="32"/>
          <w:highlight w:val="none"/>
          <w:lang w:val="en-US" w:eastAsia="zh-CN" w:bidi="ar-SA"/>
        </w:rPr>
        <w:t>2.招标代理公司</w:t>
      </w:r>
      <w:r>
        <w:rPr>
          <w:rFonts w:hint="eastAsia" w:ascii="仿宋_GB2312" w:hAnsi="仿宋_GB2312" w:eastAsia="仿宋_GB2312" w:cs="仿宋_GB2312"/>
          <w:kern w:val="0"/>
          <w:sz w:val="32"/>
          <w:szCs w:val="32"/>
          <w:highlight w:val="none"/>
          <w:lang w:val="zh-CN" w:eastAsia="zh-CN" w:bidi="ar-SA"/>
        </w:rPr>
        <w:t>需配备专业的服务团队负责我院项目的代理招标工作，并指定专人负责</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highlight w:val="none"/>
          <w:lang w:val="zh-CN" w:eastAsia="zh-CN" w:bidi="ar-SA"/>
        </w:rPr>
        <w:t>采购项目的管理和对接，服务团队成员至少三人及以上，团队成员应熟练掌握政府采购和招投标的相关法律法规、熟知政府采购和招投标的各项工作程序。</w:t>
      </w:r>
    </w:p>
    <w:p w14:paraId="5BE0EE89">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3.</w:t>
      </w:r>
      <w:r>
        <w:rPr>
          <w:rFonts w:hint="eastAsia" w:ascii="仿宋_GB2312" w:hAnsi="仿宋_GB2312" w:eastAsia="仿宋_GB2312" w:cs="仿宋_GB2312"/>
          <w:kern w:val="0"/>
          <w:sz w:val="32"/>
          <w:szCs w:val="32"/>
          <w:lang w:val="zh-CN" w:eastAsia="zh-CN" w:bidi="ar-SA"/>
        </w:rPr>
        <w:t>负责编制和在采购监督管理部门指定的媒体上发布招标公告、变更公告、中标公示等信息。</w:t>
      </w:r>
    </w:p>
    <w:p w14:paraId="1C752AEB">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w:t>
      </w:r>
      <w:r>
        <w:rPr>
          <w:rFonts w:hint="eastAsia" w:ascii="仿宋_GB2312" w:hAnsi="仿宋_GB2312" w:eastAsia="仿宋_GB2312" w:cs="仿宋_GB2312"/>
          <w:kern w:val="0"/>
          <w:sz w:val="32"/>
          <w:szCs w:val="32"/>
          <w:lang w:val="zh-CN" w:eastAsia="zh-CN" w:bidi="ar-SA"/>
        </w:rPr>
        <w:t>负责编制和发布招标文件、招标文件的需澄清和修改，</w:t>
      </w:r>
      <w:r>
        <w:rPr>
          <w:rFonts w:hint="eastAsia" w:ascii="仿宋_GB2312" w:hAnsi="仿宋_GB2312" w:eastAsia="仿宋_GB2312" w:cs="仿宋_GB2312"/>
          <w:kern w:val="0"/>
          <w:sz w:val="32"/>
          <w:szCs w:val="32"/>
          <w:lang w:val="en-US" w:eastAsia="zh-CN" w:bidi="ar-SA"/>
        </w:rPr>
        <w:t>组织专家组对政府采购项目或复杂的自行采购项目进行招标文件的论证。</w:t>
      </w:r>
    </w:p>
    <w:p w14:paraId="55AB33F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5.负责组织投标商踏勘现场、答疑及记录答疑纪要。</w:t>
      </w:r>
    </w:p>
    <w:p w14:paraId="5DBE6E38">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6.负责依法组建评标委员会聘请专业的评标专家进行招标评审、提供评审场地、</w:t>
      </w:r>
      <w:r>
        <w:rPr>
          <w:rFonts w:hint="eastAsia" w:ascii="仿宋_GB2312" w:hAnsi="仿宋_GB2312" w:eastAsia="仿宋_GB2312" w:cs="仿宋_GB2312"/>
          <w:kern w:val="0"/>
          <w:sz w:val="32"/>
          <w:szCs w:val="32"/>
          <w:lang w:val="zh-CN" w:eastAsia="zh-CN" w:bidi="ar-SA"/>
        </w:rPr>
        <w:t>接受投标文件、组织和主持开标评标工作、对投标商进行资格审查、</w:t>
      </w:r>
      <w:r>
        <w:rPr>
          <w:rFonts w:hint="eastAsia" w:ascii="仿宋_GB2312" w:hAnsi="仿宋_GB2312" w:eastAsia="仿宋_GB2312" w:cs="仿宋_GB2312"/>
          <w:kern w:val="0"/>
          <w:sz w:val="32"/>
          <w:szCs w:val="32"/>
          <w:lang w:val="en-US" w:eastAsia="zh-CN" w:bidi="ar-SA"/>
        </w:rPr>
        <w:t>做好招标评审记录、</w:t>
      </w:r>
      <w:r>
        <w:rPr>
          <w:rFonts w:hint="eastAsia" w:ascii="仿宋_GB2312" w:hAnsi="仿宋_GB2312" w:eastAsia="仿宋_GB2312" w:cs="仿宋_GB2312"/>
          <w:kern w:val="0"/>
          <w:sz w:val="32"/>
          <w:szCs w:val="32"/>
          <w:lang w:val="zh-CN" w:eastAsia="zh-CN" w:bidi="ar-SA"/>
        </w:rPr>
        <w:t>根据评标委员会的意见编写评标报告、对评标内容保密。对全部招标资料的准确性负责，在审核过程发现资料有误，</w:t>
      </w:r>
      <w:r>
        <w:rPr>
          <w:rFonts w:hint="eastAsia" w:ascii="仿宋_GB2312" w:hAnsi="仿宋_GB2312" w:eastAsia="仿宋_GB2312" w:cs="仿宋_GB2312"/>
          <w:kern w:val="0"/>
          <w:sz w:val="32"/>
          <w:szCs w:val="32"/>
          <w:lang w:val="en-US" w:eastAsia="zh-CN" w:bidi="ar-SA"/>
        </w:rPr>
        <w:t>不影响评标结果的应</w:t>
      </w:r>
      <w:r>
        <w:rPr>
          <w:rFonts w:hint="eastAsia" w:ascii="仿宋_GB2312" w:hAnsi="仿宋_GB2312" w:eastAsia="仿宋_GB2312" w:cs="仿宋_GB2312"/>
          <w:kern w:val="0"/>
          <w:sz w:val="32"/>
          <w:szCs w:val="32"/>
          <w:lang w:val="zh-CN" w:eastAsia="zh-CN" w:bidi="ar-SA"/>
        </w:rPr>
        <w:t>及时更正，如不能及时更正或者出现影响评标结果的</w:t>
      </w:r>
      <w:r>
        <w:rPr>
          <w:rFonts w:hint="eastAsia" w:ascii="仿宋_GB2312" w:hAnsi="仿宋_GB2312" w:eastAsia="仿宋_GB2312" w:cs="仿宋_GB2312"/>
          <w:kern w:val="0"/>
          <w:sz w:val="32"/>
          <w:szCs w:val="32"/>
          <w:lang w:val="en-US" w:eastAsia="zh-CN" w:bidi="ar-SA"/>
        </w:rPr>
        <w:t>重大</w:t>
      </w:r>
      <w:r>
        <w:rPr>
          <w:rFonts w:hint="eastAsia" w:ascii="仿宋_GB2312" w:hAnsi="仿宋_GB2312" w:eastAsia="仿宋_GB2312" w:cs="仿宋_GB2312"/>
          <w:kern w:val="0"/>
          <w:sz w:val="32"/>
          <w:szCs w:val="32"/>
          <w:lang w:val="zh-CN" w:eastAsia="zh-CN" w:bidi="ar-SA"/>
        </w:rPr>
        <w:t>错误</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zh-CN" w:eastAsia="zh-CN" w:bidi="ar-SA"/>
        </w:rPr>
        <w:t>将终止委托服务。</w:t>
      </w:r>
    </w:p>
    <w:p w14:paraId="5D176CEC">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highlight w:val="yellow"/>
          <w:lang w:val="en-US" w:eastAsia="zh-CN" w:bidi="ar-SA"/>
        </w:rPr>
      </w:pPr>
      <w:r>
        <w:rPr>
          <w:rFonts w:hint="eastAsia" w:ascii="仿宋_GB2312" w:hAnsi="仿宋_GB2312" w:eastAsia="仿宋_GB2312" w:cs="仿宋_GB2312"/>
          <w:kern w:val="0"/>
          <w:sz w:val="32"/>
          <w:szCs w:val="32"/>
          <w:lang w:val="en-US" w:eastAsia="zh-CN" w:bidi="ar-SA"/>
        </w:rPr>
        <w:t>7.负责投标商询问、质疑和投诉的答疑及回复，</w:t>
      </w:r>
      <w:r>
        <w:rPr>
          <w:rFonts w:hint="eastAsia" w:ascii="仿宋_GB2312" w:hAnsi="仿宋_GB2312" w:eastAsia="仿宋_GB2312" w:cs="仿宋_GB2312"/>
          <w:kern w:val="0"/>
          <w:sz w:val="32"/>
          <w:szCs w:val="32"/>
          <w:lang w:val="zh-CN" w:eastAsia="zh-CN" w:bidi="ar-SA"/>
        </w:rPr>
        <w:t>配合采购监督管理部门处理供应商投诉调查，</w:t>
      </w:r>
      <w:r>
        <w:rPr>
          <w:rFonts w:hint="eastAsia" w:ascii="仿宋_GB2312" w:hAnsi="仿宋_GB2312" w:eastAsia="仿宋_GB2312" w:cs="仿宋_GB2312"/>
          <w:kern w:val="0"/>
          <w:sz w:val="32"/>
          <w:szCs w:val="32"/>
          <w:lang w:val="en-US" w:eastAsia="zh-CN" w:bidi="ar-SA"/>
        </w:rPr>
        <w:t>组织评标专家进行复议。</w:t>
      </w:r>
    </w:p>
    <w:p w14:paraId="4E1050FA">
      <w:pPr>
        <w:keepNext w:val="0"/>
        <w:keepLines w:val="0"/>
        <w:pageBreakBefore w:val="0"/>
        <w:widowControl w:val="0"/>
        <w:kinsoku/>
        <w:wordWrap/>
        <w:overflowPunct/>
        <w:topLinePunct w:val="0"/>
        <w:autoSpaceDE/>
        <w:autoSpaceDN/>
        <w:bidi w:val="0"/>
        <w:adjustRightInd/>
        <w:spacing w:line="360" w:lineRule="auto"/>
        <w:ind w:firstLine="6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highlight w:val="none"/>
          <w:lang w:val="en-US" w:eastAsia="zh-CN" w:bidi="ar-SA"/>
        </w:rPr>
        <w:t>8.负责</w:t>
      </w:r>
      <w:r>
        <w:rPr>
          <w:rFonts w:hint="eastAsia" w:ascii="仿宋_GB2312" w:hAnsi="仿宋_GB2312" w:eastAsia="仿宋_GB2312" w:cs="仿宋_GB2312"/>
          <w:kern w:val="0"/>
          <w:sz w:val="32"/>
          <w:szCs w:val="32"/>
          <w:lang w:val="en-US" w:eastAsia="zh-CN" w:bidi="ar-SA"/>
        </w:rPr>
        <w:t>起草和发放中标通知书，联系中标商拟定和起草采购合同并在中标通知书下发后三个工作日内将草拟合同电子版发送给学院，学院审核修改后联系中标商签订合同，办理招标和合同的备案审批手续。</w:t>
      </w:r>
    </w:p>
    <w:p w14:paraId="21487DA2">
      <w:pPr>
        <w:pStyle w:val="6"/>
        <w:keepNext w:val="0"/>
        <w:keepLines w:val="0"/>
        <w:pageBreakBefore w:val="0"/>
        <w:widowControl w:val="0"/>
        <w:kinsoku/>
        <w:wordWrap/>
        <w:overflowPunct/>
        <w:topLinePunct w:val="0"/>
        <w:autoSpaceDE/>
        <w:autoSpaceDN/>
        <w:bidi w:val="0"/>
        <w:adjustRightInd/>
        <w:spacing w:line="360" w:lineRule="auto"/>
        <w:ind w:left="0" w:leftChars="0"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9.负责整理和装订招标评审资料和招标档案，要求</w:t>
      </w:r>
      <w:r>
        <w:rPr>
          <w:rFonts w:hint="eastAsia" w:ascii="仿宋_GB2312" w:hAnsi="仿宋_GB2312" w:eastAsia="仿宋_GB2312" w:cs="仿宋_GB2312"/>
          <w:kern w:val="0"/>
          <w:sz w:val="32"/>
          <w:szCs w:val="32"/>
          <w:lang w:val="zh-CN" w:eastAsia="zh-CN" w:bidi="ar-SA"/>
        </w:rPr>
        <w:t>将合同、招标文件正本、评标报告等</w:t>
      </w:r>
      <w:r>
        <w:rPr>
          <w:rFonts w:hint="eastAsia" w:ascii="仿宋_GB2312" w:hAnsi="仿宋_GB2312" w:eastAsia="仿宋_GB2312" w:cs="仿宋_GB2312"/>
          <w:kern w:val="0"/>
          <w:sz w:val="32"/>
          <w:szCs w:val="32"/>
          <w:lang w:val="en-US" w:eastAsia="zh-CN" w:bidi="ar-SA"/>
        </w:rPr>
        <w:t>招标资料全部整理成册，纸质版两份、电子版档案一份。纸质版档案需装至档案盒并粘贴标签，列明档案资料明细，电子版档案需存储至U盘、硬盘，所有档案资料在招标工作完全结束后五个工作日内送至学院。</w:t>
      </w:r>
    </w:p>
    <w:p w14:paraId="7C59E4D4">
      <w:pPr>
        <w:keepNext w:val="0"/>
        <w:keepLines w:val="0"/>
        <w:pageBreakBefore w:val="0"/>
        <w:widowControl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kern w:val="0"/>
          <w:sz w:val="32"/>
          <w:szCs w:val="32"/>
          <w:lang w:val="en-US" w:eastAsia="zh-CN" w:bidi="ar-SA"/>
        </w:rPr>
        <w:t>10.负责建立学院委托招标项目的台账，包括招标项目明细台账、项目报名信息台账、项目中标台账等，</w:t>
      </w:r>
      <w:r>
        <w:rPr>
          <w:rFonts w:hint="eastAsia" w:ascii="仿宋_GB2312" w:hAnsi="仿宋_GB2312" w:eastAsia="仿宋_GB2312" w:cs="仿宋_GB2312"/>
          <w:kern w:val="0"/>
          <w:sz w:val="32"/>
          <w:szCs w:val="32"/>
          <w:highlight w:val="none"/>
          <w:lang w:val="zh-CN" w:eastAsia="zh-CN" w:bidi="ar-SA"/>
        </w:rPr>
        <w:t>应做到及时与</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highlight w:val="none"/>
          <w:lang w:val="zh-CN" w:eastAsia="zh-CN" w:bidi="ar-SA"/>
        </w:rPr>
        <w:t>沟通项目进度，保证采购的顺利实施。</w:t>
      </w:r>
    </w:p>
    <w:p w14:paraId="619B1C37">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11.应满足学院的合法、合理要求，</w:t>
      </w:r>
      <w:r>
        <w:rPr>
          <w:rFonts w:hint="eastAsia" w:ascii="仿宋_GB2312" w:hAnsi="仿宋_GB2312" w:eastAsia="仿宋_GB2312" w:cs="仿宋_GB2312"/>
          <w:kern w:val="0"/>
          <w:sz w:val="32"/>
          <w:szCs w:val="32"/>
          <w:lang w:val="zh-CN" w:eastAsia="zh-CN" w:bidi="ar-SA"/>
        </w:rPr>
        <w:t>严格遵守和落实政府采购和招投标相关的法律法规、政策制度。如果在代理招标过程中违反相关法律法规，</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zh-CN" w:eastAsia="zh-CN" w:bidi="ar-SA"/>
        </w:rPr>
        <w:t>有权终止委托代理服务</w:t>
      </w:r>
      <w:r>
        <w:rPr>
          <w:rFonts w:hint="eastAsia" w:ascii="仿宋_GB2312" w:hAnsi="仿宋_GB2312" w:eastAsia="仿宋_GB2312" w:cs="仿宋_GB2312"/>
          <w:kern w:val="0"/>
          <w:sz w:val="32"/>
          <w:szCs w:val="32"/>
          <w:lang w:val="en-US" w:eastAsia="zh-CN" w:bidi="ar-SA"/>
        </w:rPr>
        <w:t>并保留向政府采购监管部门投诉的权利</w:t>
      </w:r>
      <w:r>
        <w:rPr>
          <w:rFonts w:hint="eastAsia" w:ascii="仿宋_GB2312" w:hAnsi="仿宋_GB2312" w:eastAsia="仿宋_GB2312" w:cs="仿宋_GB2312"/>
          <w:kern w:val="0"/>
          <w:sz w:val="32"/>
          <w:szCs w:val="32"/>
          <w:lang w:val="zh-CN" w:eastAsia="zh-CN" w:bidi="ar-SA"/>
        </w:rPr>
        <w:t>。</w:t>
      </w:r>
    </w:p>
    <w:p w14:paraId="752F4CCE">
      <w:pPr>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zh-CN" w:eastAsia="zh-CN" w:bidi="ar-SA"/>
        </w:rPr>
      </w:pPr>
      <w:r>
        <w:rPr>
          <w:rFonts w:hint="eastAsia" w:ascii="仿宋_GB2312" w:hAnsi="仿宋_GB2312" w:eastAsia="仿宋_GB2312" w:cs="仿宋_GB2312"/>
          <w:kern w:val="0"/>
          <w:sz w:val="32"/>
          <w:szCs w:val="32"/>
          <w:lang w:val="en-US" w:eastAsia="zh-CN" w:bidi="ar-SA"/>
        </w:rPr>
        <w:t>12.招标代理公司不得在学院委托的项目中同时为招标人、投标人或者不同投标人提供技术咨询服务。</w:t>
      </w:r>
      <w:r>
        <w:rPr>
          <w:rFonts w:hint="eastAsia" w:ascii="仿宋_GB2312" w:hAnsi="仿宋_GB2312" w:eastAsia="仿宋_GB2312" w:cs="仿宋_GB2312"/>
          <w:kern w:val="0"/>
          <w:sz w:val="32"/>
          <w:szCs w:val="32"/>
          <w:lang w:val="zh-CN" w:eastAsia="zh-CN" w:bidi="ar-SA"/>
        </w:rPr>
        <w:t>如果在代理招标过程中违反</w:t>
      </w:r>
      <w:r>
        <w:rPr>
          <w:rFonts w:hint="eastAsia" w:ascii="仿宋_GB2312" w:hAnsi="仿宋_GB2312" w:eastAsia="仿宋_GB2312" w:cs="仿宋_GB2312"/>
          <w:kern w:val="0"/>
          <w:sz w:val="32"/>
          <w:szCs w:val="32"/>
          <w:lang w:val="en-US" w:eastAsia="zh-CN" w:bidi="ar-SA"/>
        </w:rPr>
        <w:t>该规定</w:t>
      </w:r>
      <w:r>
        <w:rPr>
          <w:rFonts w:hint="eastAsia" w:ascii="仿宋_GB2312" w:hAnsi="仿宋_GB2312" w:eastAsia="仿宋_GB2312" w:cs="仿宋_GB2312"/>
          <w:kern w:val="0"/>
          <w:sz w:val="32"/>
          <w:szCs w:val="32"/>
          <w:lang w:val="zh-CN" w:eastAsia="zh-CN" w:bidi="ar-SA"/>
        </w:rPr>
        <w:t>，</w:t>
      </w:r>
      <w:r>
        <w:rPr>
          <w:rFonts w:hint="eastAsia" w:ascii="仿宋_GB2312" w:hAnsi="仿宋_GB2312" w:eastAsia="仿宋_GB2312" w:cs="仿宋_GB2312"/>
          <w:kern w:val="0"/>
          <w:sz w:val="32"/>
          <w:szCs w:val="32"/>
          <w:lang w:val="en-US" w:eastAsia="zh-CN" w:bidi="ar-SA"/>
        </w:rPr>
        <w:t>学院</w:t>
      </w:r>
      <w:r>
        <w:rPr>
          <w:rFonts w:hint="eastAsia" w:ascii="仿宋_GB2312" w:hAnsi="仿宋_GB2312" w:eastAsia="仿宋_GB2312" w:cs="仿宋_GB2312"/>
          <w:kern w:val="0"/>
          <w:sz w:val="32"/>
          <w:szCs w:val="32"/>
          <w:lang w:val="zh-CN" w:eastAsia="zh-CN" w:bidi="ar-SA"/>
        </w:rPr>
        <w:t>有权终止委托代理服务。</w:t>
      </w:r>
    </w:p>
    <w:p w14:paraId="44D33EDF">
      <w:pPr>
        <w:pStyle w:val="3"/>
        <w:keepNext w:val="0"/>
        <w:keepLines w:val="0"/>
        <w:pageBreakBefore w:val="0"/>
        <w:widowControl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13.招标代理公司能协助学院进行评标专家培训，协助学院联系外院专家对院内的部分招标项目进行评审，为学院招标采购工作人员提供相应的政策咨询和答疑服务。</w:t>
      </w:r>
    </w:p>
    <w:p w14:paraId="1205D7DA">
      <w:pPr>
        <w:pStyle w:val="8"/>
        <w:spacing w:line="360" w:lineRule="auto"/>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14.</w:t>
      </w:r>
      <w:r>
        <w:rPr>
          <w:rFonts w:hint="eastAsia" w:ascii="仿宋_GB2312" w:hAnsi="仿宋_GB2312" w:eastAsia="仿宋_GB2312" w:cs="仿宋_GB2312"/>
          <w:kern w:val="0"/>
          <w:sz w:val="32"/>
          <w:szCs w:val="32"/>
          <w:lang w:val="zh-CN" w:eastAsia="zh-CN" w:bidi="ar-SA"/>
        </w:rPr>
        <w:t>招标服务代理费收费不高于《国家发展改革委关于降低部分建设项目收费标准规范收费行为等有关问题的通知》发改价格【</w:t>
      </w:r>
      <w:r>
        <w:rPr>
          <w:rFonts w:hint="eastAsia" w:ascii="仿宋_GB2312" w:hAnsi="仿宋_GB2312" w:eastAsia="仿宋_GB2312" w:cs="仿宋_GB2312"/>
          <w:kern w:val="0"/>
          <w:sz w:val="32"/>
          <w:szCs w:val="32"/>
          <w:lang w:val="en-US" w:eastAsia="zh-CN" w:bidi="ar-SA"/>
        </w:rPr>
        <w:t>2011</w:t>
      </w:r>
      <w:r>
        <w:rPr>
          <w:rFonts w:hint="eastAsia" w:ascii="仿宋_GB2312" w:hAnsi="仿宋_GB2312" w:eastAsia="仿宋_GB2312" w:cs="仿宋_GB2312"/>
          <w:kern w:val="0"/>
          <w:sz w:val="32"/>
          <w:szCs w:val="32"/>
          <w:lang w:val="zh-CN" w:eastAsia="zh-CN" w:bidi="ar-SA"/>
        </w:rPr>
        <w:t>】</w:t>
      </w:r>
      <w:r>
        <w:rPr>
          <w:rFonts w:hint="eastAsia" w:ascii="仿宋_GB2312" w:hAnsi="仿宋_GB2312" w:eastAsia="仿宋_GB2312" w:cs="仿宋_GB2312"/>
          <w:kern w:val="0"/>
          <w:sz w:val="32"/>
          <w:szCs w:val="32"/>
          <w:lang w:val="en-US" w:eastAsia="zh-CN" w:bidi="ar-SA"/>
        </w:rPr>
        <w:t>534号文件规定的标准。学院保留部分项目代理费用由代理公司与学院在收费标准之内协商优惠的权利。招标代理公司应当在采购文件中明示代理费用收取方式、收费标准，明确代理费用由中标、成交供应商支付，提醒供应商报价应当含代理费用。采购项目的参数论证、技术咨询、合同审定、质疑投诉回复、法务咨询等服务费用由代理公司承担。</w:t>
      </w:r>
    </w:p>
    <w:p w14:paraId="321F61D0">
      <w:pPr>
        <w:pStyle w:val="8"/>
        <w:spacing w:line="360" w:lineRule="auto"/>
        <w:ind w:left="0" w:leftChars="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15.投标人递交响应文件正本1套，电子版（响应文件签字盖章后扫描件PDF）1份。</w:t>
      </w:r>
    </w:p>
    <w:p w14:paraId="54F269AE">
      <w:pPr>
        <w:pStyle w:val="2"/>
        <w:numPr>
          <w:ilvl w:val="0"/>
          <w:numId w:val="0"/>
        </w:numPr>
        <w:spacing w:line="360" w:lineRule="auto"/>
        <w:ind w:firstLine="643" w:firstLineChars="200"/>
        <w:jc w:val="both"/>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三、评标办法</w:t>
      </w:r>
    </w:p>
    <w:p w14:paraId="6A331111">
      <w:pPr>
        <w:pStyle w:val="8"/>
        <w:numPr>
          <w:ilvl w:val="0"/>
          <w:numId w:val="0"/>
        </w:numPr>
        <w:spacing w:line="360" w:lineRule="auto"/>
        <w:ind w:leftChars="0" w:firstLine="640" w:firstLineChars="20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本项目评审分两个阶段，第一阶段：响应文件评审；第二阶段：现场考察。</w:t>
      </w:r>
    </w:p>
    <w:p w14:paraId="4849A064">
      <w:pPr>
        <w:pStyle w:val="8"/>
        <w:numPr>
          <w:ilvl w:val="0"/>
          <w:numId w:val="0"/>
        </w:numPr>
        <w:spacing w:line="360" w:lineRule="auto"/>
        <w:ind w:leftChars="0" w:firstLine="640" w:firstLineChars="20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对参与遴选的代理机构递交的响应文件进行综合打分，得分排名前6名的代理公司进入第二阶段；学院将电话通知具体现场考察时间，实地考察后对6家公司进行二次打分。第一阶段、第二阶段得分汇总后，排名前4的代理公司即确定为中标单位，中标结果在兰州现代职业学院网站公布。</w:t>
      </w:r>
    </w:p>
    <w:p w14:paraId="72448929">
      <w:pPr>
        <w:pStyle w:val="8"/>
        <w:widowControl w:val="0"/>
        <w:numPr>
          <w:ilvl w:val="0"/>
          <w:numId w:val="0"/>
        </w:numPr>
        <w:autoSpaceDE w:val="0"/>
        <w:autoSpaceDN w:val="0"/>
        <w:adjustRightInd w:val="0"/>
        <w:snapToGrid w:val="0"/>
        <w:spacing w:line="300" w:lineRule="auto"/>
        <w:ind w:firstLine="640" w:firstLineChars="200"/>
        <w:jc w:val="both"/>
        <w:rPr>
          <w:rFonts w:hint="eastAsia" w:ascii="仿宋_GB2312" w:hAnsi="仿宋_GB2312" w:eastAsia="仿宋_GB2312" w:cs="仿宋_GB2312"/>
          <w:b w:val="0"/>
          <w:bCs w:val="0"/>
          <w:kern w:val="0"/>
          <w:sz w:val="32"/>
          <w:szCs w:val="32"/>
          <w:lang w:val="en-US" w:eastAsia="zh-CN" w:bidi="ar-SA"/>
        </w:rPr>
      </w:pPr>
      <w:r>
        <w:rPr>
          <w:rFonts w:hint="eastAsia" w:ascii="仿宋_GB2312" w:hAnsi="仿宋_GB2312" w:eastAsia="仿宋_GB2312" w:cs="仿宋_GB2312"/>
          <w:b w:val="0"/>
          <w:bCs w:val="0"/>
          <w:kern w:val="0"/>
          <w:sz w:val="32"/>
          <w:szCs w:val="32"/>
          <w:lang w:val="en-US" w:eastAsia="zh-CN" w:bidi="ar-SA"/>
        </w:rPr>
        <w:t>1.响应文件打分</w:t>
      </w:r>
    </w:p>
    <w:tbl>
      <w:tblPr>
        <w:tblStyle w:val="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270"/>
        <w:gridCol w:w="6360"/>
      </w:tblGrid>
      <w:tr w14:paraId="72495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3" w:type="dxa"/>
            <w:vAlign w:val="center"/>
          </w:tcPr>
          <w:p w14:paraId="770DEFFC">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评分项目</w:t>
            </w:r>
          </w:p>
        </w:tc>
        <w:tc>
          <w:tcPr>
            <w:tcW w:w="1270" w:type="dxa"/>
            <w:vAlign w:val="center"/>
          </w:tcPr>
          <w:p w14:paraId="00781038">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c>
          <w:tcPr>
            <w:tcW w:w="6360" w:type="dxa"/>
            <w:vAlign w:val="center"/>
          </w:tcPr>
          <w:p w14:paraId="6B49BC04">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14:paraId="34C1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3" w:type="dxa"/>
            <w:vMerge w:val="restart"/>
            <w:vAlign w:val="center"/>
          </w:tcPr>
          <w:p w14:paraId="00EFE469">
            <w:pPr>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商务部分</w:t>
            </w:r>
          </w:p>
          <w:p w14:paraId="2C5DA444">
            <w:pPr>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（50分）</w:t>
            </w:r>
          </w:p>
        </w:tc>
        <w:tc>
          <w:tcPr>
            <w:tcW w:w="1270" w:type="dxa"/>
            <w:vAlign w:val="center"/>
          </w:tcPr>
          <w:p w14:paraId="20EB26FB">
            <w:pPr>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15分</w:t>
            </w:r>
          </w:p>
        </w:tc>
        <w:tc>
          <w:tcPr>
            <w:tcW w:w="6360" w:type="dxa"/>
            <w:vAlign w:val="center"/>
          </w:tcPr>
          <w:p w14:paraId="26651ABB">
            <w:pPr>
              <w:adjustRightInd w:val="0"/>
              <w:snapToGrid w:val="0"/>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投标人提供</w:t>
            </w:r>
            <w:r>
              <w:rPr>
                <w:rFonts w:hint="eastAsia" w:ascii="宋体" w:hAnsi="宋体" w:cs="宋体"/>
                <w:color w:val="auto"/>
                <w:sz w:val="24"/>
                <w:szCs w:val="24"/>
                <w:highlight w:val="none"/>
                <w:lang w:val="en-US" w:eastAsia="zh-CN"/>
              </w:rPr>
              <w:t>2023年以来政府采购</w:t>
            </w:r>
            <w:r>
              <w:rPr>
                <w:rFonts w:hint="eastAsia" w:ascii="宋体" w:hAnsi="宋体" w:eastAsia="宋体" w:cs="宋体"/>
                <w:color w:val="auto"/>
                <w:sz w:val="24"/>
                <w:szCs w:val="24"/>
                <w:highlight w:val="none"/>
                <w:lang w:val="zh-CN"/>
              </w:rPr>
              <w:t>项目业绩，每提供一</w:t>
            </w:r>
            <w:r>
              <w:rPr>
                <w:rFonts w:hint="eastAsia" w:ascii="宋体" w:hAnsi="宋体" w:cs="宋体"/>
                <w:color w:val="auto"/>
                <w:sz w:val="24"/>
                <w:szCs w:val="24"/>
                <w:highlight w:val="none"/>
                <w:lang w:val="en-US" w:eastAsia="zh-CN"/>
              </w:rPr>
              <w:t>份</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最高得12分。</w:t>
            </w:r>
          </w:p>
          <w:p w14:paraId="477F1335">
            <w:pPr>
              <w:adjustRightInd w:val="0"/>
              <w:snapToGrid w:val="0"/>
              <w:spacing w:line="360" w:lineRule="auto"/>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投标人提供</w:t>
            </w:r>
            <w:r>
              <w:rPr>
                <w:rFonts w:hint="eastAsia" w:ascii="宋体" w:hAnsi="宋体" w:cs="宋体"/>
                <w:color w:val="auto"/>
                <w:sz w:val="24"/>
                <w:szCs w:val="24"/>
                <w:highlight w:val="none"/>
                <w:lang w:val="en-US" w:eastAsia="zh-CN"/>
              </w:rPr>
              <w:t>2023年以来高校政府采购</w:t>
            </w:r>
            <w:r>
              <w:rPr>
                <w:rFonts w:hint="eastAsia" w:ascii="宋体" w:hAnsi="宋体" w:eastAsia="宋体" w:cs="宋体"/>
                <w:color w:val="auto"/>
                <w:sz w:val="24"/>
                <w:szCs w:val="24"/>
                <w:highlight w:val="none"/>
                <w:lang w:val="zh-CN"/>
              </w:rPr>
              <w:t>项目业绩（</w:t>
            </w:r>
            <w:r>
              <w:rPr>
                <w:rFonts w:hint="eastAsia" w:ascii="宋体" w:hAnsi="宋体" w:eastAsia="宋体" w:cs="宋体"/>
                <w:color w:val="auto"/>
                <w:sz w:val="24"/>
                <w:szCs w:val="24"/>
                <w:highlight w:val="none"/>
                <w:lang w:val="en-US" w:eastAsia="zh-CN"/>
              </w:rPr>
              <w:t>不少于3所院校</w:t>
            </w:r>
            <w:r>
              <w:rPr>
                <w:rFonts w:hint="eastAsia" w:ascii="宋体" w:hAnsi="宋体" w:eastAsia="宋体" w:cs="宋体"/>
                <w:color w:val="auto"/>
                <w:sz w:val="24"/>
                <w:szCs w:val="24"/>
                <w:highlight w:val="none"/>
                <w:lang w:val="zh-CN"/>
              </w:rPr>
              <w:t>），每提供一</w:t>
            </w:r>
            <w:r>
              <w:rPr>
                <w:rFonts w:hint="eastAsia" w:ascii="宋体" w:hAnsi="宋体" w:cs="宋体"/>
                <w:color w:val="auto"/>
                <w:sz w:val="24"/>
                <w:szCs w:val="24"/>
                <w:highlight w:val="none"/>
                <w:lang w:val="en-US" w:eastAsia="zh-CN"/>
              </w:rPr>
              <w:t>份</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最高得3分。</w:t>
            </w:r>
          </w:p>
          <w:p w14:paraId="6F102C4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（以中标通知书或招标代理协议或政府采购网官方公示的中标/成交公告截图为准）</w:t>
            </w:r>
          </w:p>
        </w:tc>
      </w:tr>
      <w:tr w14:paraId="134C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423" w:type="dxa"/>
            <w:vMerge w:val="continue"/>
            <w:vAlign w:val="center"/>
          </w:tcPr>
          <w:p w14:paraId="117C3C70">
            <w:pPr>
              <w:adjustRightInd w:val="0"/>
              <w:snapToGrid w:val="0"/>
              <w:spacing w:line="360" w:lineRule="auto"/>
              <w:jc w:val="center"/>
              <w:rPr>
                <w:rFonts w:hint="eastAsia" w:ascii="宋体" w:hAnsi="宋体" w:eastAsia="宋体" w:cs="宋体"/>
                <w:color w:val="auto"/>
                <w:sz w:val="24"/>
                <w:szCs w:val="24"/>
                <w:highlight w:val="none"/>
              </w:rPr>
            </w:pPr>
          </w:p>
        </w:tc>
        <w:tc>
          <w:tcPr>
            <w:tcW w:w="1270" w:type="dxa"/>
            <w:vAlign w:val="center"/>
          </w:tcPr>
          <w:p w14:paraId="1B346D6D">
            <w:pPr>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10分</w:t>
            </w:r>
          </w:p>
        </w:tc>
        <w:tc>
          <w:tcPr>
            <w:tcW w:w="6360" w:type="dxa"/>
            <w:vAlign w:val="center"/>
          </w:tcPr>
          <w:p w14:paraId="3CC67669">
            <w:pPr>
              <w:pStyle w:val="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根据所提供的项目管理服务团队人员表，体现该单位人员配备情况、经验能力等，</w:t>
            </w:r>
            <w:r>
              <w:rPr>
                <w:rFonts w:hint="eastAsia" w:ascii="宋体" w:hAnsi="宋体" w:cs="宋体"/>
                <w:color w:val="auto"/>
                <w:sz w:val="24"/>
                <w:szCs w:val="24"/>
                <w:highlight w:val="none"/>
                <w:lang w:val="en-US" w:eastAsia="zh-CN"/>
              </w:rPr>
              <w:t>具有中级及以上职称证书的，每提供1人得2分，最多得10分。</w:t>
            </w:r>
          </w:p>
        </w:tc>
      </w:tr>
      <w:tr w14:paraId="4CD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23" w:type="dxa"/>
            <w:vMerge w:val="continue"/>
            <w:vAlign w:val="center"/>
          </w:tcPr>
          <w:p w14:paraId="312E835E">
            <w:pPr>
              <w:adjustRightInd w:val="0"/>
              <w:snapToGrid w:val="0"/>
              <w:spacing w:line="360" w:lineRule="auto"/>
              <w:jc w:val="center"/>
              <w:rPr>
                <w:rFonts w:ascii="宋体" w:hAnsi="宋体" w:eastAsia="宋体" w:cs="宋体"/>
                <w:color w:val="auto"/>
                <w:sz w:val="24"/>
                <w:szCs w:val="24"/>
                <w:highlight w:val="none"/>
              </w:rPr>
            </w:pPr>
          </w:p>
        </w:tc>
        <w:tc>
          <w:tcPr>
            <w:tcW w:w="1270" w:type="dxa"/>
            <w:vAlign w:val="center"/>
          </w:tcPr>
          <w:p w14:paraId="52CC1E7F">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rPr>
              <w:t>分</w:t>
            </w:r>
          </w:p>
        </w:tc>
        <w:tc>
          <w:tcPr>
            <w:tcW w:w="6360" w:type="dxa"/>
            <w:vAlign w:val="center"/>
          </w:tcPr>
          <w:p w14:paraId="7DA5FD54">
            <w:pPr>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1、具有</w:t>
            </w:r>
            <w:r>
              <w:rPr>
                <w:rFonts w:hint="eastAsia" w:ascii="宋体" w:hAnsi="宋体" w:eastAsia="宋体" w:cs="宋体"/>
                <w:color w:val="auto"/>
                <w:sz w:val="24"/>
                <w:szCs w:val="24"/>
                <w:highlight w:val="none"/>
              </w:rPr>
              <w:t>固定的办公场所面积</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平米</w:t>
            </w:r>
            <w:r>
              <w:rPr>
                <w:rFonts w:hint="eastAsia" w:ascii="宋体" w:hAnsi="宋体" w:eastAsia="宋体" w:cs="宋体"/>
                <w:color w:val="auto"/>
                <w:sz w:val="24"/>
                <w:szCs w:val="24"/>
                <w:highlight w:val="none"/>
                <w:lang w:val="en-US" w:eastAsia="zh-CN"/>
              </w:rPr>
              <w:t>以下</w:t>
            </w:r>
            <w:r>
              <w:rPr>
                <w:rFonts w:hint="eastAsia" w:ascii="宋体" w:hAnsi="宋体" w:eastAsia="宋体" w:cs="宋体"/>
                <w:color w:val="auto"/>
                <w:sz w:val="24"/>
                <w:szCs w:val="24"/>
                <w:highlight w:val="none"/>
              </w:rPr>
              <w:t>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固定的办公场所面积达到</w:t>
            </w:r>
            <w:r>
              <w:rPr>
                <w:rFonts w:hint="eastAsia" w:ascii="宋体" w:hAnsi="宋体" w:eastAsia="宋体" w:cs="宋体"/>
                <w:color w:val="auto"/>
                <w:sz w:val="24"/>
                <w:szCs w:val="24"/>
                <w:highlight w:val="none"/>
                <w:lang w:val="en-US" w:eastAsia="zh-CN"/>
              </w:rPr>
              <w:t>200</w:t>
            </w:r>
            <w:r>
              <w:rPr>
                <w:rFonts w:hint="eastAsia" w:ascii="宋体" w:hAnsi="宋体" w:eastAsia="宋体" w:cs="宋体"/>
                <w:color w:val="auto"/>
                <w:sz w:val="24"/>
                <w:szCs w:val="24"/>
                <w:highlight w:val="none"/>
              </w:rPr>
              <w:t>平米</w:t>
            </w:r>
            <w:r>
              <w:rPr>
                <w:rFonts w:hint="eastAsia" w:ascii="宋体" w:hAnsi="宋体" w:eastAsia="宋体" w:cs="宋体"/>
                <w:color w:val="auto"/>
                <w:sz w:val="24"/>
                <w:szCs w:val="24"/>
                <w:highlight w:val="none"/>
                <w:lang w:val="en-US" w:eastAsia="zh-CN"/>
              </w:rPr>
              <w:t>及以上</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en-US" w:eastAsia="zh-CN"/>
              </w:rPr>
              <w:t>。（提供房屋租赁或购买合同）</w:t>
            </w:r>
            <w:r>
              <w:rPr>
                <w:rFonts w:hint="eastAsia" w:ascii="宋体" w:hAnsi="宋体" w:eastAsia="宋体" w:cs="宋体"/>
                <w:b w:val="0"/>
                <w:bCs w:val="0"/>
                <w:color w:val="auto"/>
                <w:sz w:val="24"/>
                <w:szCs w:val="24"/>
                <w:highlight w:val="none"/>
                <w:lang w:val="en-US" w:eastAsia="zh-CN"/>
              </w:rPr>
              <w:t>（满分6分）</w:t>
            </w:r>
          </w:p>
          <w:p w14:paraId="48D12F73">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2、公司具有专业的开评标室组织开评标工作，提供开评标室照片的得4分；评标室配备专业的监控、录音录像设备，提供证明材料的得4分</w:t>
            </w:r>
            <w:r>
              <w:rPr>
                <w:rFonts w:hint="eastAsia" w:ascii="宋体" w:hAnsi="宋体" w:eastAsia="宋体" w:cs="宋体"/>
                <w:color w:val="auto"/>
                <w:sz w:val="24"/>
                <w:szCs w:val="24"/>
                <w:highlight w:val="none"/>
              </w:rPr>
              <w:t>；有专门的档案存放场所</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提供照片得4分</w:t>
            </w:r>
            <w:r>
              <w:rPr>
                <w:rFonts w:hint="eastAsia" w:ascii="宋体" w:hAnsi="宋体" w:eastAsia="宋体" w:cs="宋体"/>
                <w:color w:val="auto"/>
                <w:sz w:val="24"/>
                <w:szCs w:val="24"/>
                <w:highlight w:val="none"/>
              </w:rPr>
              <w:t>；</w:t>
            </w:r>
            <w:r>
              <w:rPr>
                <w:rFonts w:hint="eastAsia" w:ascii="宋体" w:hAnsi="宋体" w:eastAsia="宋体" w:cs="宋体"/>
                <w:b w:val="0"/>
                <w:bCs w:val="0"/>
                <w:color w:val="auto"/>
                <w:sz w:val="24"/>
                <w:szCs w:val="24"/>
                <w:highlight w:val="none"/>
                <w:lang w:val="en-US" w:eastAsia="zh-CN"/>
              </w:rPr>
              <w:t>（满分12分）</w:t>
            </w:r>
          </w:p>
          <w:p w14:paraId="7266F54F">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注：未提供或未按要求提供的不得分。</w:t>
            </w:r>
          </w:p>
        </w:tc>
      </w:tr>
      <w:tr w14:paraId="0511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423" w:type="dxa"/>
            <w:vMerge w:val="continue"/>
            <w:vAlign w:val="center"/>
          </w:tcPr>
          <w:p w14:paraId="06F5F608">
            <w:pPr>
              <w:adjustRightInd w:val="0"/>
              <w:snapToGrid w:val="0"/>
              <w:spacing w:line="360" w:lineRule="auto"/>
              <w:jc w:val="center"/>
              <w:rPr>
                <w:rFonts w:ascii="宋体" w:hAnsi="宋体" w:eastAsia="宋体" w:cs="宋体"/>
                <w:color w:val="auto"/>
                <w:sz w:val="24"/>
                <w:szCs w:val="24"/>
                <w:highlight w:val="none"/>
              </w:rPr>
            </w:pPr>
          </w:p>
        </w:tc>
        <w:tc>
          <w:tcPr>
            <w:tcW w:w="1270" w:type="dxa"/>
            <w:vAlign w:val="center"/>
          </w:tcPr>
          <w:p w14:paraId="5E062975">
            <w:pPr>
              <w:adjustRightInd w:val="0"/>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7分</w:t>
            </w:r>
          </w:p>
        </w:tc>
        <w:tc>
          <w:tcPr>
            <w:tcW w:w="6360" w:type="dxa"/>
            <w:vAlign w:val="center"/>
          </w:tcPr>
          <w:p w14:paraId="237A500A">
            <w:pPr>
              <w:adjustRightInd w:val="0"/>
              <w:snapToGrid w:val="0"/>
              <w:spacing w:line="360" w:lineRule="auto"/>
              <w:jc w:val="left"/>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代理公司能够提供专业的法律顾问保障的得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分，没有不得分。</w:t>
            </w:r>
            <w:r>
              <w:rPr>
                <w:rFonts w:hint="eastAsia" w:ascii="宋体" w:hAnsi="宋体" w:eastAsia="宋体" w:cs="宋体"/>
                <w:b w:val="0"/>
                <w:bCs w:val="0"/>
                <w:color w:val="auto"/>
                <w:sz w:val="24"/>
                <w:szCs w:val="24"/>
                <w:highlight w:val="none"/>
                <w:lang w:val="en-US" w:eastAsia="zh-CN"/>
              </w:rPr>
              <w:t>（满分7分）</w:t>
            </w:r>
          </w:p>
          <w:p w14:paraId="5883D365">
            <w:pPr>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（以委托律所实际签订的委托协议为准，复印件加盖公章。）</w:t>
            </w:r>
          </w:p>
        </w:tc>
      </w:tr>
      <w:tr w14:paraId="4058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3" w:type="dxa"/>
            <w:vMerge w:val="restart"/>
            <w:vAlign w:val="center"/>
          </w:tcPr>
          <w:p w14:paraId="7EE4F723">
            <w:pPr>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服务部分</w:t>
            </w:r>
          </w:p>
          <w:p w14:paraId="1C460CE8">
            <w:pPr>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（50分）</w:t>
            </w:r>
          </w:p>
        </w:tc>
        <w:tc>
          <w:tcPr>
            <w:tcW w:w="1270" w:type="dxa"/>
            <w:vAlign w:val="center"/>
          </w:tcPr>
          <w:p w14:paraId="5D730A2E">
            <w:pPr>
              <w:adjustRightInd w:val="0"/>
              <w:snapToGrid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tc>
        <w:tc>
          <w:tcPr>
            <w:tcW w:w="6360" w:type="dxa"/>
            <w:vAlign w:val="center"/>
          </w:tcPr>
          <w:p w14:paraId="409E5385">
            <w:pPr>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招标代理服务方案：</w:t>
            </w:r>
          </w:p>
          <w:p w14:paraId="17A1BFFB">
            <w:pPr>
              <w:adjustRightInd w:val="0"/>
              <w:snapToGrid w:val="0"/>
              <w:spacing w:line="360" w:lineRule="auto"/>
              <w:jc w:val="left"/>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内容</w:t>
            </w:r>
            <w:r>
              <w:rPr>
                <w:rFonts w:hint="eastAsia" w:ascii="宋体" w:hAnsi="宋体" w:eastAsia="宋体" w:cs="宋体"/>
                <w:color w:val="auto"/>
                <w:sz w:val="24"/>
                <w:szCs w:val="24"/>
                <w:highlight w:val="none"/>
              </w:rPr>
              <w:t>详细，针对性强，内容具体、全面、准确，能充分体现政府采购项目特点的得</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分；能提供招标代理工作方案，内容基本完整的得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分；招标代理工作方案内容不完整的得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分；不提供者不得分。</w:t>
            </w:r>
          </w:p>
        </w:tc>
      </w:tr>
      <w:tr w14:paraId="229FA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23" w:type="dxa"/>
            <w:vMerge w:val="continue"/>
            <w:vAlign w:val="center"/>
          </w:tcPr>
          <w:p w14:paraId="2DDDED80">
            <w:pPr>
              <w:adjustRightInd w:val="0"/>
              <w:snapToGrid w:val="0"/>
              <w:spacing w:line="360" w:lineRule="auto"/>
              <w:jc w:val="center"/>
              <w:rPr>
                <w:rFonts w:hint="default" w:ascii="宋体" w:hAnsi="宋体" w:cs="宋体"/>
                <w:color w:val="auto"/>
                <w:sz w:val="24"/>
                <w:szCs w:val="24"/>
                <w:highlight w:val="none"/>
                <w:lang w:val="en-US" w:eastAsia="zh-CN"/>
              </w:rPr>
            </w:pPr>
          </w:p>
        </w:tc>
        <w:tc>
          <w:tcPr>
            <w:tcW w:w="1270" w:type="dxa"/>
            <w:vAlign w:val="center"/>
          </w:tcPr>
          <w:p w14:paraId="2890F43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360" w:type="dxa"/>
            <w:vAlign w:val="center"/>
          </w:tcPr>
          <w:p w14:paraId="45B2243F">
            <w:pPr>
              <w:pStyle w:val="13"/>
              <w:spacing w:line="360" w:lineRule="auto"/>
              <w:rPr>
                <w:rFonts w:hint="eastAsia" w:hAnsi="宋体" w:eastAsia="宋体"/>
                <w:snapToGrid w:val="0"/>
                <w:color w:val="auto"/>
                <w:sz w:val="24"/>
                <w:szCs w:val="24"/>
                <w:highlight w:val="none"/>
                <w:lang w:eastAsia="zh-CN"/>
              </w:rPr>
            </w:pPr>
            <w:r>
              <w:rPr>
                <w:rFonts w:hint="eastAsia" w:hAnsi="宋体"/>
                <w:snapToGrid w:val="0"/>
                <w:color w:val="auto"/>
                <w:sz w:val="24"/>
                <w:szCs w:val="24"/>
                <w:highlight w:val="none"/>
                <w:lang w:val="en-US" w:eastAsia="zh-CN"/>
              </w:rPr>
              <w:t>招标代理服务承诺及服务质量保障措施</w:t>
            </w:r>
            <w:r>
              <w:rPr>
                <w:rFonts w:hint="eastAsia" w:hAnsi="宋体"/>
                <w:snapToGrid w:val="0"/>
                <w:color w:val="auto"/>
                <w:sz w:val="24"/>
                <w:szCs w:val="24"/>
                <w:highlight w:val="none"/>
                <w:lang w:eastAsia="zh-CN"/>
              </w:rPr>
              <w:t>：</w:t>
            </w:r>
          </w:p>
          <w:p w14:paraId="798B13D0">
            <w:pPr>
              <w:pStyle w:val="13"/>
              <w:spacing w:line="360" w:lineRule="auto"/>
              <w:rPr>
                <w:rFonts w:hAnsi="宋体"/>
                <w:color w:val="auto"/>
                <w:sz w:val="24"/>
                <w:szCs w:val="24"/>
                <w:highlight w:val="none"/>
              </w:rPr>
            </w:pPr>
            <w:r>
              <w:rPr>
                <w:rFonts w:hint="eastAsia" w:hAnsi="宋体"/>
                <w:snapToGrid w:val="0"/>
                <w:color w:val="auto"/>
                <w:sz w:val="24"/>
                <w:szCs w:val="24"/>
                <w:highlight w:val="none"/>
                <w:lang w:val="en-US" w:eastAsia="zh-CN"/>
              </w:rPr>
              <w:t>服务承诺完整，</w:t>
            </w:r>
            <w:r>
              <w:rPr>
                <w:rFonts w:hint="eastAsia" w:hAnsi="宋体"/>
                <w:snapToGrid w:val="0"/>
                <w:color w:val="auto"/>
                <w:sz w:val="24"/>
                <w:szCs w:val="24"/>
                <w:highlight w:val="none"/>
              </w:rPr>
              <w:t>质量管理制度、招标代理质量保证措施等各项管理制度</w:t>
            </w:r>
            <w:r>
              <w:rPr>
                <w:rFonts w:hint="eastAsia" w:hAnsi="宋体"/>
                <w:snapToGrid w:val="0"/>
                <w:color w:val="auto"/>
                <w:sz w:val="24"/>
                <w:szCs w:val="24"/>
                <w:highlight w:val="none"/>
                <w:lang w:val="en-US" w:eastAsia="zh-CN"/>
              </w:rPr>
              <w:t>完善，针对采购单位提供的得12分，服务承诺相对完整，基本满足采购需求的得7分，服务承诺与质量管理制度简略的得4</w:t>
            </w:r>
            <w:r>
              <w:rPr>
                <w:rFonts w:hint="eastAsia" w:hAnsi="宋体"/>
                <w:snapToGrid w:val="0"/>
                <w:color w:val="auto"/>
                <w:sz w:val="24"/>
                <w:szCs w:val="24"/>
                <w:highlight w:val="none"/>
              </w:rPr>
              <w:t>分</w:t>
            </w:r>
            <w:r>
              <w:rPr>
                <w:rFonts w:hint="eastAsia" w:ascii="宋体" w:hAnsi="宋体" w:eastAsia="宋体" w:cs="宋体"/>
                <w:color w:val="auto"/>
                <w:sz w:val="24"/>
                <w:szCs w:val="24"/>
                <w:highlight w:val="none"/>
              </w:rPr>
              <w:t>；不提供者不得分。</w:t>
            </w:r>
          </w:p>
        </w:tc>
      </w:tr>
      <w:tr w14:paraId="208F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423" w:type="dxa"/>
            <w:vMerge w:val="continue"/>
            <w:vAlign w:val="center"/>
          </w:tcPr>
          <w:p w14:paraId="7937E981">
            <w:pPr>
              <w:adjustRightInd w:val="0"/>
              <w:snapToGrid w:val="0"/>
              <w:spacing w:line="360" w:lineRule="auto"/>
              <w:jc w:val="center"/>
              <w:rPr>
                <w:rFonts w:ascii="宋体" w:hAnsi="宋体" w:eastAsia="宋体" w:cs="宋体"/>
                <w:color w:val="auto"/>
                <w:sz w:val="24"/>
                <w:szCs w:val="24"/>
                <w:highlight w:val="none"/>
              </w:rPr>
            </w:pPr>
          </w:p>
        </w:tc>
        <w:tc>
          <w:tcPr>
            <w:tcW w:w="1270" w:type="dxa"/>
            <w:vAlign w:val="center"/>
          </w:tcPr>
          <w:p w14:paraId="0432C1DF">
            <w:pPr>
              <w:adjustRightInd w:val="0"/>
              <w:snapToGrid w:val="0"/>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360" w:type="dxa"/>
            <w:vAlign w:val="center"/>
          </w:tcPr>
          <w:p w14:paraId="47696B8B">
            <w:pPr>
              <w:pStyle w:val="13"/>
              <w:spacing w:line="360" w:lineRule="auto"/>
              <w:rPr>
                <w:rFonts w:hint="eastAsia" w:hAnsi="宋体"/>
                <w:color w:val="auto"/>
                <w:sz w:val="24"/>
                <w:szCs w:val="24"/>
                <w:highlight w:val="none"/>
              </w:rPr>
            </w:pPr>
            <w:r>
              <w:rPr>
                <w:rFonts w:hint="eastAsia" w:hAnsi="宋体"/>
                <w:color w:val="auto"/>
                <w:sz w:val="24"/>
                <w:szCs w:val="24"/>
                <w:highlight w:val="none"/>
                <w:lang w:val="en-US" w:eastAsia="zh-CN"/>
              </w:rPr>
              <w:t>投标人</w:t>
            </w:r>
            <w:r>
              <w:rPr>
                <w:rFonts w:hint="eastAsia" w:hAnsi="宋体"/>
                <w:color w:val="auto"/>
                <w:sz w:val="24"/>
                <w:szCs w:val="24"/>
                <w:highlight w:val="none"/>
              </w:rPr>
              <w:t>内部制度建设</w:t>
            </w:r>
            <w:r>
              <w:rPr>
                <w:rFonts w:hint="eastAsia" w:hAnsi="宋体"/>
                <w:color w:val="auto"/>
                <w:sz w:val="24"/>
                <w:szCs w:val="24"/>
                <w:highlight w:val="none"/>
                <w:lang w:val="en-US" w:eastAsia="zh-CN"/>
              </w:rPr>
              <w:t>及档案存档制度</w:t>
            </w:r>
            <w:r>
              <w:rPr>
                <w:rFonts w:hint="eastAsia" w:hAnsi="宋体"/>
                <w:color w:val="auto"/>
                <w:sz w:val="24"/>
                <w:szCs w:val="24"/>
                <w:highlight w:val="none"/>
              </w:rPr>
              <w:t>情况：</w:t>
            </w:r>
          </w:p>
          <w:p w14:paraId="1DF08438">
            <w:pPr>
              <w:spacing w:line="360" w:lineRule="auto"/>
              <w:rPr>
                <w:rFonts w:ascii="宋体" w:hAnsi="宋体" w:eastAsia="宋体" w:cs="宋体"/>
                <w:color w:val="auto"/>
                <w:sz w:val="24"/>
                <w:szCs w:val="24"/>
                <w:highlight w:val="none"/>
              </w:rPr>
            </w:pPr>
            <w:r>
              <w:rPr>
                <w:rFonts w:hint="eastAsia" w:hAnsi="宋体"/>
                <w:color w:val="auto"/>
                <w:sz w:val="24"/>
                <w:szCs w:val="24"/>
                <w:highlight w:val="none"/>
              </w:rPr>
              <w:t>具有完整清晰且符合实际的内部制度建设</w:t>
            </w:r>
            <w:r>
              <w:rPr>
                <w:rFonts w:hint="eastAsia" w:hAnsi="宋体"/>
                <w:color w:val="auto"/>
                <w:sz w:val="24"/>
                <w:szCs w:val="24"/>
                <w:highlight w:val="none"/>
                <w:lang w:val="en-US" w:eastAsia="zh-CN"/>
              </w:rPr>
              <w:t>及档案存档制度的</w:t>
            </w:r>
            <w:r>
              <w:rPr>
                <w:rFonts w:hint="eastAsia" w:hAnsi="宋体"/>
                <w:color w:val="auto"/>
                <w:sz w:val="24"/>
                <w:szCs w:val="24"/>
                <w:highlight w:val="none"/>
              </w:rPr>
              <w:t>得</w:t>
            </w:r>
            <w:r>
              <w:rPr>
                <w:rFonts w:hint="eastAsia" w:hAnsi="宋体"/>
                <w:b w:val="0"/>
                <w:bCs w:val="0"/>
                <w:color w:val="auto"/>
                <w:sz w:val="24"/>
                <w:szCs w:val="24"/>
                <w:highlight w:val="none"/>
                <w:lang w:val="en-US" w:eastAsia="zh-CN"/>
              </w:rPr>
              <w:t>12</w:t>
            </w:r>
            <w:r>
              <w:rPr>
                <w:rFonts w:hint="eastAsia" w:hAnsi="宋体"/>
                <w:color w:val="auto"/>
                <w:sz w:val="24"/>
                <w:szCs w:val="24"/>
                <w:highlight w:val="none"/>
              </w:rPr>
              <w:t>分，</w:t>
            </w:r>
            <w:r>
              <w:rPr>
                <w:rFonts w:hint="eastAsia" w:hAnsi="宋体"/>
                <w:color w:val="auto"/>
                <w:sz w:val="24"/>
                <w:szCs w:val="24"/>
                <w:highlight w:val="none"/>
                <w:lang w:val="en-US" w:eastAsia="zh-CN"/>
              </w:rPr>
              <w:t>内控制度与存档情况基本满足采购需求的</w:t>
            </w:r>
            <w:r>
              <w:rPr>
                <w:rFonts w:hint="eastAsia" w:hAnsi="宋体"/>
                <w:color w:val="auto"/>
                <w:sz w:val="24"/>
                <w:szCs w:val="24"/>
                <w:highlight w:val="none"/>
              </w:rPr>
              <w:t>得</w:t>
            </w:r>
            <w:r>
              <w:rPr>
                <w:rFonts w:hint="eastAsia" w:hAnsi="宋体"/>
                <w:color w:val="auto"/>
                <w:sz w:val="24"/>
                <w:szCs w:val="24"/>
                <w:highlight w:val="none"/>
                <w:lang w:val="en-US" w:eastAsia="zh-CN"/>
              </w:rPr>
              <w:t>7</w:t>
            </w:r>
            <w:r>
              <w:rPr>
                <w:rFonts w:hint="eastAsia" w:hAnsi="宋体"/>
                <w:color w:val="auto"/>
                <w:sz w:val="24"/>
                <w:szCs w:val="24"/>
                <w:highlight w:val="none"/>
              </w:rPr>
              <w:t>分；</w:t>
            </w:r>
            <w:r>
              <w:rPr>
                <w:rFonts w:hint="eastAsia" w:hAnsi="宋体"/>
                <w:color w:val="auto"/>
                <w:sz w:val="24"/>
                <w:szCs w:val="24"/>
                <w:highlight w:val="none"/>
                <w:lang w:val="en-US" w:eastAsia="zh-CN"/>
              </w:rPr>
              <w:t>内控制度与存档情况较差的</w:t>
            </w:r>
            <w:r>
              <w:rPr>
                <w:rFonts w:hint="eastAsia" w:hAnsi="宋体"/>
                <w:color w:val="auto"/>
                <w:sz w:val="24"/>
                <w:szCs w:val="24"/>
                <w:highlight w:val="none"/>
              </w:rPr>
              <w:t>得</w:t>
            </w:r>
            <w:r>
              <w:rPr>
                <w:rFonts w:hint="eastAsia" w:hAnsi="宋体"/>
                <w:color w:val="auto"/>
                <w:sz w:val="24"/>
                <w:szCs w:val="24"/>
                <w:highlight w:val="none"/>
                <w:lang w:val="en-US" w:eastAsia="zh-CN"/>
              </w:rPr>
              <w:t>4</w:t>
            </w:r>
            <w:r>
              <w:rPr>
                <w:rFonts w:hint="eastAsia" w:hAnsi="宋体"/>
                <w:color w:val="auto"/>
                <w:sz w:val="24"/>
                <w:szCs w:val="24"/>
                <w:highlight w:val="none"/>
              </w:rPr>
              <w:t>分；不提供者不得分。</w:t>
            </w:r>
          </w:p>
        </w:tc>
      </w:tr>
      <w:tr w14:paraId="150C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423" w:type="dxa"/>
            <w:vMerge w:val="continue"/>
            <w:vAlign w:val="center"/>
          </w:tcPr>
          <w:p w14:paraId="60C86824">
            <w:pPr>
              <w:adjustRightInd w:val="0"/>
              <w:snapToGrid w:val="0"/>
              <w:spacing w:line="360" w:lineRule="auto"/>
              <w:jc w:val="center"/>
              <w:rPr>
                <w:rFonts w:ascii="宋体" w:hAnsi="宋体" w:eastAsia="宋体" w:cs="宋体"/>
                <w:color w:val="auto"/>
                <w:sz w:val="24"/>
                <w:szCs w:val="24"/>
                <w:highlight w:val="none"/>
              </w:rPr>
            </w:pPr>
          </w:p>
        </w:tc>
        <w:tc>
          <w:tcPr>
            <w:tcW w:w="1270" w:type="dxa"/>
            <w:vAlign w:val="center"/>
          </w:tcPr>
          <w:p w14:paraId="57DDDF03">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tc>
        <w:tc>
          <w:tcPr>
            <w:tcW w:w="6360" w:type="dxa"/>
            <w:vAlign w:val="center"/>
          </w:tcPr>
          <w:p w14:paraId="6B962F5D">
            <w:pPr>
              <w:pStyle w:val="13"/>
              <w:spacing w:line="360" w:lineRule="auto"/>
              <w:rPr>
                <w:rFonts w:hint="eastAsia" w:hAnsi="宋体" w:eastAsia="宋体"/>
                <w:snapToGrid w:val="0"/>
                <w:color w:val="auto"/>
                <w:sz w:val="24"/>
                <w:szCs w:val="24"/>
                <w:highlight w:val="none"/>
                <w:lang w:eastAsia="zh-CN"/>
              </w:rPr>
            </w:pPr>
            <w:r>
              <w:rPr>
                <w:rFonts w:hint="eastAsia" w:hAnsi="宋体"/>
                <w:snapToGrid w:val="0"/>
                <w:color w:val="auto"/>
                <w:sz w:val="24"/>
                <w:szCs w:val="24"/>
                <w:highlight w:val="none"/>
                <w:lang w:eastAsia="zh-CN"/>
              </w:rPr>
              <w:t>质疑和投诉的处理：</w:t>
            </w:r>
          </w:p>
          <w:p w14:paraId="0D15EA16">
            <w:pPr>
              <w:pStyle w:val="13"/>
              <w:spacing w:line="360" w:lineRule="auto"/>
              <w:rPr>
                <w:rFonts w:hint="eastAsia" w:hAnsi="宋体"/>
                <w:snapToGrid w:val="0"/>
                <w:color w:val="auto"/>
                <w:sz w:val="24"/>
                <w:szCs w:val="24"/>
                <w:highlight w:val="none"/>
              </w:rPr>
            </w:pPr>
            <w:r>
              <w:rPr>
                <w:rFonts w:hint="eastAsia" w:hAnsi="宋体"/>
                <w:snapToGrid w:val="0"/>
                <w:color w:val="auto"/>
                <w:sz w:val="24"/>
                <w:szCs w:val="24"/>
                <w:highlight w:val="none"/>
              </w:rPr>
              <w:t>从处理方法、处理流程、处理依据、结果定性四个方面考量，方法详尽、流程清晰，定性准确、依据正确得</w:t>
            </w:r>
            <w:r>
              <w:rPr>
                <w:rFonts w:hint="eastAsia" w:hAnsi="宋体"/>
                <w:snapToGrid w:val="0"/>
                <w:color w:val="auto"/>
                <w:sz w:val="24"/>
                <w:szCs w:val="24"/>
                <w:highlight w:val="none"/>
                <w:lang w:val="en-US" w:eastAsia="zh-CN"/>
              </w:rPr>
              <w:t>12</w:t>
            </w:r>
            <w:r>
              <w:rPr>
                <w:rFonts w:hint="eastAsia" w:hAnsi="宋体"/>
                <w:snapToGrid w:val="0"/>
                <w:color w:val="auto"/>
                <w:sz w:val="24"/>
                <w:szCs w:val="24"/>
                <w:highlight w:val="none"/>
              </w:rPr>
              <w:t>分，方法</w:t>
            </w:r>
            <w:r>
              <w:rPr>
                <w:rFonts w:hint="eastAsia" w:hAnsi="宋体"/>
                <w:snapToGrid w:val="0"/>
                <w:color w:val="auto"/>
                <w:sz w:val="24"/>
                <w:szCs w:val="24"/>
                <w:highlight w:val="none"/>
                <w:lang w:val="en-US" w:eastAsia="zh-CN"/>
              </w:rPr>
              <w:t>较为</w:t>
            </w:r>
            <w:r>
              <w:rPr>
                <w:rFonts w:hint="eastAsia" w:hAnsi="宋体"/>
                <w:snapToGrid w:val="0"/>
                <w:color w:val="auto"/>
                <w:sz w:val="24"/>
                <w:szCs w:val="24"/>
                <w:highlight w:val="none"/>
              </w:rPr>
              <w:t>详尽、流程</w:t>
            </w:r>
            <w:r>
              <w:rPr>
                <w:rFonts w:hint="eastAsia" w:hAnsi="宋体"/>
                <w:snapToGrid w:val="0"/>
                <w:color w:val="auto"/>
                <w:sz w:val="24"/>
                <w:szCs w:val="24"/>
                <w:highlight w:val="none"/>
                <w:lang w:val="en-US" w:eastAsia="zh-CN"/>
              </w:rPr>
              <w:t>较为</w:t>
            </w:r>
            <w:r>
              <w:rPr>
                <w:rFonts w:hint="eastAsia" w:hAnsi="宋体"/>
                <w:snapToGrid w:val="0"/>
                <w:color w:val="auto"/>
                <w:sz w:val="24"/>
                <w:szCs w:val="24"/>
                <w:highlight w:val="none"/>
              </w:rPr>
              <w:t>清晰得</w:t>
            </w:r>
            <w:r>
              <w:rPr>
                <w:rFonts w:hint="eastAsia" w:hAnsi="宋体"/>
                <w:snapToGrid w:val="0"/>
                <w:color w:val="auto"/>
                <w:sz w:val="24"/>
                <w:szCs w:val="24"/>
                <w:highlight w:val="none"/>
                <w:lang w:val="en-US" w:eastAsia="zh-CN"/>
              </w:rPr>
              <w:t>7</w:t>
            </w:r>
            <w:r>
              <w:rPr>
                <w:rFonts w:hint="eastAsia" w:hAnsi="宋体"/>
                <w:snapToGrid w:val="0"/>
                <w:color w:val="auto"/>
                <w:sz w:val="24"/>
                <w:szCs w:val="24"/>
                <w:highlight w:val="none"/>
              </w:rPr>
              <w:t>分</w:t>
            </w:r>
            <w:r>
              <w:rPr>
                <w:rFonts w:hint="eastAsia" w:hAnsi="宋体"/>
                <w:snapToGrid w:val="0"/>
                <w:color w:val="auto"/>
                <w:sz w:val="24"/>
                <w:szCs w:val="24"/>
                <w:highlight w:val="none"/>
                <w:lang w:eastAsia="zh-CN"/>
              </w:rPr>
              <w:t>，</w:t>
            </w:r>
            <w:r>
              <w:rPr>
                <w:rFonts w:hint="eastAsia" w:hAnsi="宋体"/>
                <w:snapToGrid w:val="0"/>
                <w:color w:val="auto"/>
                <w:sz w:val="24"/>
                <w:szCs w:val="24"/>
                <w:highlight w:val="none"/>
              </w:rPr>
              <w:t>方法</w:t>
            </w:r>
            <w:r>
              <w:rPr>
                <w:rFonts w:hint="eastAsia" w:hAnsi="宋体"/>
                <w:snapToGrid w:val="0"/>
                <w:color w:val="auto"/>
                <w:sz w:val="24"/>
                <w:szCs w:val="24"/>
                <w:highlight w:val="none"/>
                <w:lang w:val="en-US" w:eastAsia="zh-CN"/>
              </w:rPr>
              <w:t>简单</w:t>
            </w:r>
            <w:r>
              <w:rPr>
                <w:rFonts w:hint="eastAsia" w:hAnsi="宋体"/>
                <w:snapToGrid w:val="0"/>
                <w:color w:val="auto"/>
                <w:sz w:val="24"/>
                <w:szCs w:val="24"/>
                <w:highlight w:val="none"/>
              </w:rPr>
              <w:t>、流程</w:t>
            </w:r>
            <w:r>
              <w:rPr>
                <w:rFonts w:hint="eastAsia" w:hAnsi="宋体"/>
                <w:snapToGrid w:val="0"/>
                <w:color w:val="auto"/>
                <w:sz w:val="24"/>
                <w:szCs w:val="24"/>
                <w:highlight w:val="none"/>
                <w:lang w:val="en-US" w:eastAsia="zh-CN"/>
              </w:rPr>
              <w:t>混乱得4分；</w:t>
            </w:r>
            <w:r>
              <w:rPr>
                <w:rFonts w:hint="eastAsia" w:hAnsi="宋体"/>
                <w:color w:val="auto"/>
                <w:sz w:val="24"/>
                <w:szCs w:val="24"/>
                <w:highlight w:val="none"/>
              </w:rPr>
              <w:t>不提供者不得分。</w:t>
            </w:r>
          </w:p>
        </w:tc>
      </w:tr>
    </w:tbl>
    <w:p w14:paraId="19E7ABB8">
      <w:pPr>
        <w:pStyle w:val="8"/>
        <w:widowControl w:val="0"/>
        <w:numPr>
          <w:ilvl w:val="0"/>
          <w:numId w:val="0"/>
        </w:numPr>
        <w:autoSpaceDE w:val="0"/>
        <w:autoSpaceDN w:val="0"/>
        <w:adjustRightInd w:val="0"/>
        <w:snapToGrid w:val="0"/>
        <w:spacing w:line="300" w:lineRule="auto"/>
        <w:jc w:val="center"/>
        <w:rPr>
          <w:rFonts w:hint="default" w:hAnsi="宋体" w:eastAsia="宋体" w:cs="宋体"/>
          <w:kern w:val="0"/>
          <w:sz w:val="28"/>
          <w:szCs w:val="28"/>
          <w:lang w:val="en-US" w:eastAsia="zh-CN" w:bidi="ar-SA"/>
        </w:rPr>
      </w:pPr>
    </w:p>
    <w:p w14:paraId="658F2639">
      <w:pPr>
        <w:pStyle w:val="8"/>
        <w:widowControl w:val="0"/>
        <w:numPr>
          <w:ilvl w:val="0"/>
          <w:numId w:val="0"/>
        </w:numPr>
        <w:autoSpaceDE w:val="0"/>
        <w:autoSpaceDN w:val="0"/>
        <w:adjustRightInd w:val="0"/>
        <w:snapToGrid w:val="0"/>
        <w:spacing w:line="300" w:lineRule="auto"/>
        <w:jc w:val="both"/>
        <w:rPr>
          <w:rFonts w:hint="eastAsia" w:ascii="仿宋_GB2312" w:hAnsi="仿宋_GB2312" w:eastAsia="仿宋_GB2312" w:cs="仿宋_GB2312"/>
          <w:kern w:val="0"/>
          <w:sz w:val="32"/>
          <w:szCs w:val="32"/>
          <w:lang w:val="en-US" w:eastAsia="zh-CN" w:bidi="ar-SA"/>
        </w:rPr>
      </w:pPr>
    </w:p>
    <w:p w14:paraId="7C43B272">
      <w:pPr>
        <w:pStyle w:val="8"/>
        <w:widowControl w:val="0"/>
        <w:numPr>
          <w:ilvl w:val="0"/>
          <w:numId w:val="0"/>
        </w:numPr>
        <w:autoSpaceDE w:val="0"/>
        <w:autoSpaceDN w:val="0"/>
        <w:adjustRightInd w:val="0"/>
        <w:snapToGrid w:val="0"/>
        <w:spacing w:line="360" w:lineRule="auto"/>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2.现场勘查打分：招标人对响应文件得分前6名的代理公司实地考察。招标人保留事前事中或事后去参与方实地考察核实的权利，如有虚假不实情况，有权取消其资格。</w:t>
      </w:r>
    </w:p>
    <w:p w14:paraId="790C4639">
      <w:pPr>
        <w:pStyle w:val="8"/>
        <w:widowControl w:val="0"/>
        <w:numPr>
          <w:ilvl w:val="0"/>
          <w:numId w:val="0"/>
        </w:numPr>
        <w:autoSpaceDE w:val="0"/>
        <w:autoSpaceDN w:val="0"/>
        <w:adjustRightInd w:val="0"/>
        <w:snapToGrid w:val="0"/>
        <w:spacing w:line="300" w:lineRule="auto"/>
        <w:jc w:val="both"/>
        <w:rPr>
          <w:rFonts w:hint="default" w:hAnsi="宋体" w:eastAsia="宋体" w:cs="宋体"/>
          <w:kern w:val="0"/>
          <w:sz w:val="28"/>
          <w:szCs w:val="28"/>
          <w:lang w:val="en-US" w:eastAsia="zh-CN" w:bidi="ar-SA"/>
        </w:rPr>
      </w:pPr>
    </w:p>
    <w:tbl>
      <w:tblPr>
        <w:tblStyle w:val="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270"/>
        <w:gridCol w:w="6360"/>
      </w:tblGrid>
      <w:tr w14:paraId="7BCC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3" w:type="dxa"/>
            <w:vAlign w:val="center"/>
          </w:tcPr>
          <w:p w14:paraId="6B77797B">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评分项目</w:t>
            </w:r>
          </w:p>
        </w:tc>
        <w:tc>
          <w:tcPr>
            <w:tcW w:w="1270" w:type="dxa"/>
            <w:vAlign w:val="center"/>
          </w:tcPr>
          <w:p w14:paraId="6CFF5A50">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分值</w:t>
            </w:r>
          </w:p>
        </w:tc>
        <w:tc>
          <w:tcPr>
            <w:tcW w:w="6360" w:type="dxa"/>
            <w:vAlign w:val="center"/>
          </w:tcPr>
          <w:p w14:paraId="78B5E37E">
            <w:pPr>
              <w:adjustRightInd w:val="0"/>
              <w:snapToGrid w:val="0"/>
              <w:spacing w:line="360" w:lineRule="auto"/>
              <w:jc w:val="center"/>
              <w:rPr>
                <w:rFonts w:ascii="宋体" w:hAnsi="宋体" w:eastAsia="宋体" w:cs="宋体"/>
                <w:b/>
                <w:color w:val="auto"/>
                <w:sz w:val="24"/>
                <w:szCs w:val="24"/>
              </w:rPr>
            </w:pPr>
            <w:r>
              <w:rPr>
                <w:rFonts w:hint="eastAsia" w:ascii="宋体" w:hAnsi="宋体" w:eastAsia="宋体" w:cs="宋体"/>
                <w:b/>
                <w:color w:val="auto"/>
                <w:sz w:val="24"/>
                <w:szCs w:val="24"/>
              </w:rPr>
              <w:t>评分标准</w:t>
            </w:r>
          </w:p>
        </w:tc>
      </w:tr>
      <w:tr w14:paraId="4378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423" w:type="dxa"/>
            <w:vMerge w:val="restart"/>
            <w:vAlign w:val="center"/>
          </w:tcPr>
          <w:p w14:paraId="69B0336F">
            <w:pPr>
              <w:adjustRightInd w:val="0"/>
              <w:snapToGrid w:val="0"/>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现场考察（20分）</w:t>
            </w:r>
          </w:p>
        </w:tc>
        <w:tc>
          <w:tcPr>
            <w:tcW w:w="1270" w:type="dxa"/>
            <w:vAlign w:val="center"/>
          </w:tcPr>
          <w:p w14:paraId="23C38F21">
            <w:pPr>
              <w:adjustRightInd w:val="0"/>
              <w:snapToGrid w:val="0"/>
              <w:spacing w:line="360" w:lineRule="auto"/>
              <w:jc w:val="center"/>
              <w:rPr>
                <w:rFonts w:hint="eastAsia" w:ascii="宋体" w:hAnsi="宋体" w:cs="宋体"/>
                <w:color w:val="auto"/>
                <w:sz w:val="24"/>
                <w:szCs w:val="24"/>
                <w:highlight w:val="none"/>
                <w:lang w:val="en-US" w:eastAsia="zh-CN"/>
              </w:rPr>
            </w:pPr>
            <w:r>
              <w:rPr>
                <w:rFonts w:hint="default" w:hAnsi="宋体" w:eastAsia="宋体" w:cs="宋体"/>
                <w:kern w:val="0"/>
                <w:sz w:val="24"/>
                <w:szCs w:val="24"/>
                <w:lang w:val="en-US" w:eastAsia="zh-CN" w:bidi="ar-SA"/>
              </w:rPr>
              <w:t>硬件设施情况</w:t>
            </w:r>
          </w:p>
        </w:tc>
        <w:tc>
          <w:tcPr>
            <w:tcW w:w="6360" w:type="dxa"/>
            <w:vAlign w:val="center"/>
          </w:tcPr>
          <w:p w14:paraId="0CC98740">
            <w:pPr>
              <w:adjustRightInd w:val="0"/>
              <w:snapToGrid w:val="0"/>
              <w:spacing w:line="36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bidi="ar-SA"/>
              </w:rPr>
              <w:t>甲方实地考察，公司具备完善规范的开标、评标、档案资料室，具有履行业务所必需的硬件设备。办公场所环境舒适宽敞</w:t>
            </w:r>
            <w:bookmarkStart w:id="0" w:name="_GoBack"/>
            <w:bookmarkEnd w:id="0"/>
            <w:r>
              <w:rPr>
                <w:rFonts w:hint="eastAsia" w:ascii="宋体" w:hAnsi="宋体" w:eastAsia="宋体" w:cs="宋体"/>
                <w:snapToGrid w:val="0"/>
                <w:color w:val="auto"/>
                <w:kern w:val="0"/>
                <w:sz w:val="24"/>
                <w:szCs w:val="24"/>
                <w:highlight w:val="none"/>
                <w:lang w:val="en-US" w:eastAsia="zh-CN" w:bidi="ar-SA"/>
              </w:rPr>
              <w:t>、设施设备齐全、档案室管理标准，满足独立开评标工作及档案管理需求，得15分；办公场所环境一般、设施设备较为齐全、档案室管理基本标准，基本满足开评标工作及档案管理需求，得10分；办公场所环境一般、设施设备较为齐全、档案室管理不标准，能独立完成开评标工作需求、档案管理存在缺陷，得5分；办公环境一般、办公室设备不全，不具备独立完成开评标工作需要，不得分。</w:t>
            </w:r>
          </w:p>
        </w:tc>
      </w:tr>
      <w:tr w14:paraId="49C44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1423" w:type="dxa"/>
            <w:vMerge w:val="continue"/>
            <w:vAlign w:val="center"/>
          </w:tcPr>
          <w:p w14:paraId="0640F92F">
            <w:pPr>
              <w:adjustRightInd w:val="0"/>
              <w:snapToGrid w:val="0"/>
              <w:spacing w:line="360" w:lineRule="auto"/>
              <w:jc w:val="center"/>
              <w:rPr>
                <w:rFonts w:hint="eastAsia" w:ascii="宋体" w:hAnsi="宋体" w:eastAsia="宋体" w:cs="宋体"/>
                <w:color w:val="auto"/>
                <w:sz w:val="24"/>
                <w:szCs w:val="24"/>
                <w:highlight w:val="none"/>
              </w:rPr>
            </w:pPr>
          </w:p>
        </w:tc>
        <w:tc>
          <w:tcPr>
            <w:tcW w:w="1270" w:type="dxa"/>
            <w:vAlign w:val="center"/>
          </w:tcPr>
          <w:p w14:paraId="6ECE5A5E">
            <w:pPr>
              <w:adjustRightInd w:val="0"/>
              <w:snapToGrid w:val="0"/>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资料原件</w:t>
            </w:r>
          </w:p>
        </w:tc>
        <w:tc>
          <w:tcPr>
            <w:tcW w:w="6360" w:type="dxa"/>
            <w:vAlign w:val="center"/>
          </w:tcPr>
          <w:p w14:paraId="7B949E64">
            <w:pPr>
              <w:pStyle w:val="3"/>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投标文件中所提供资料原件完整得5分，每缺1份扣1分，扣完为止，未能提供原件不得分。</w:t>
            </w:r>
          </w:p>
        </w:tc>
      </w:tr>
    </w:tbl>
    <w:p w14:paraId="4E8053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sz w:val="28"/>
          <w:szCs w:val="28"/>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A6D4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050F12">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4050F12">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1318F">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ZTNmY2Q0YzczN2E5ZDMxNDRkNDc3MDc4NDVlNTYifQ=="/>
  </w:docVars>
  <w:rsids>
    <w:rsidRoot w:val="00000000"/>
    <w:rsid w:val="0467550E"/>
    <w:rsid w:val="05241B93"/>
    <w:rsid w:val="0BA4205E"/>
    <w:rsid w:val="0BB62595"/>
    <w:rsid w:val="0D091293"/>
    <w:rsid w:val="10271B1A"/>
    <w:rsid w:val="164571F8"/>
    <w:rsid w:val="184400CE"/>
    <w:rsid w:val="1B175780"/>
    <w:rsid w:val="21E00583"/>
    <w:rsid w:val="2B1B2837"/>
    <w:rsid w:val="33E40D4E"/>
    <w:rsid w:val="36F07917"/>
    <w:rsid w:val="37C75F07"/>
    <w:rsid w:val="38D26B93"/>
    <w:rsid w:val="48E73BE2"/>
    <w:rsid w:val="495C057F"/>
    <w:rsid w:val="4A8D7ADA"/>
    <w:rsid w:val="4E4C5E5D"/>
    <w:rsid w:val="51E94F07"/>
    <w:rsid w:val="601E5301"/>
    <w:rsid w:val="62630AC5"/>
    <w:rsid w:val="6A9A00B0"/>
    <w:rsid w:val="7915391D"/>
    <w:rsid w:val="7A0F6A75"/>
    <w:rsid w:val="7BF751E8"/>
    <w:rsid w:val="7DE6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99"/>
    <w:pPr>
      <w:snapToGrid w:val="0"/>
      <w:spacing w:line="300" w:lineRule="auto"/>
    </w:pPr>
    <w:rPr>
      <w:kern w:val="0"/>
      <w:sz w:val="24"/>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tabs>
        <w:tab w:val="center" w:pos="4153"/>
        <w:tab w:val="right" w:pos="8306"/>
      </w:tabs>
      <w:snapToGrid w:val="0"/>
      <w:jc w:val="center"/>
    </w:pPr>
    <w:rPr>
      <w:kern w:val="0"/>
      <w:sz w:val="18"/>
      <w:szCs w:val="18"/>
    </w:rPr>
  </w:style>
  <w:style w:type="paragraph" w:styleId="6">
    <w:name w:val="toc 2"/>
    <w:basedOn w:val="1"/>
    <w:next w:val="1"/>
    <w:qFormat/>
    <w:uiPriority w:val="99"/>
    <w:pPr>
      <w:ind w:left="420" w:leftChars="200"/>
    </w:p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qFormat/>
    <w:uiPriority w:val="0"/>
    <w:pPr>
      <w:autoSpaceDE w:val="0"/>
      <w:autoSpaceDN w:val="0"/>
      <w:adjustRightInd w:val="0"/>
      <w:ind w:firstLine="420"/>
      <w:jc w:val="left"/>
    </w:pPr>
    <w:rPr>
      <w:rFonts w:ascii="宋体"/>
      <w:kern w:val="0"/>
      <w:sz w:val="20"/>
      <w:szCs w:val="20"/>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3457</Words>
  <Characters>3610</Characters>
  <Lines>0</Lines>
  <Paragraphs>0</Paragraphs>
  <TotalTime>51</TotalTime>
  <ScaleCrop>false</ScaleCrop>
  <LinksUpToDate>false</LinksUpToDate>
  <CharactersWithSpaces>3610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2021-06-01T12:06:00Z</dcterms:created>
  <dc:creator>LZXDZYXY</dc:creator>
  <cp:lastModifiedBy>唐斌</cp:lastModifiedBy>
  <cp:lastPrinted>2024-06-26T03:58:00Z</cp:lastPrinted>
  <dcterms:modified xsi:type="dcterms:W3CDTF">2026-01-16T03:27:00Z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96EA1E4A753941608E80B245DB659981</vt:lpwstr>
  </property>
  <property fmtid="{D5CDD505-2E9C-101B-9397-08002B2CF9AE}" pid="4" name="KSOTemplateDocerSaveRecord">
    <vt:lpwstr>eyJoZGlkIjoiOGU5M2Y3YzQ2M2ZmMzM4YmNmODQ0OTRhMGQ5YWFiNGUiLCJ1c2VySWQiOiI4MDI0MzIwOTUifQ==</vt:lpwstr>
  </property>
</Properties>
</file>