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1ED0F">
      <w:pPr>
        <w:jc w:val="center"/>
        <w:rPr>
          <w:sz w:val="44"/>
          <w:szCs w:val="44"/>
        </w:rPr>
      </w:pPr>
      <w:r>
        <w:rPr>
          <w:rFonts w:hint="eastAsia"/>
          <w:sz w:val="44"/>
          <w:szCs w:val="44"/>
        </w:rPr>
        <w:t>兰州现代职业学院预算清单控制价</w:t>
      </w:r>
    </w:p>
    <w:p w14:paraId="7B2014EA">
      <w:pPr>
        <w:jc w:val="center"/>
        <w:rPr>
          <w:sz w:val="44"/>
          <w:szCs w:val="44"/>
        </w:rPr>
      </w:pPr>
      <w:r>
        <w:rPr>
          <w:rFonts w:hint="eastAsia"/>
          <w:sz w:val="44"/>
          <w:szCs w:val="44"/>
        </w:rPr>
        <w:t>编制机构遴选采购需求</w:t>
      </w:r>
    </w:p>
    <w:p w14:paraId="18CF4541">
      <w:pPr>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一、资格要求</w:t>
      </w:r>
    </w:p>
    <w:p w14:paraId="62A085FC">
      <w:pPr>
        <w:tabs>
          <w:tab w:val="left" w:pos="420"/>
        </w:tabs>
        <w:spacing w:line="360" w:lineRule="auto"/>
        <w:ind w:firstLine="640" w:firstLineChars="200"/>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1、投标人须为在中华人民共和国境内注册的独立法人，</w:t>
      </w:r>
      <w:r>
        <w:rPr>
          <w:rFonts w:hint="eastAsia" w:ascii="仿宋_GB2312" w:hAnsi="仿宋_GB2312" w:eastAsia="仿宋_GB2312" w:cs="仿宋_GB2312"/>
          <w:sz w:val="32"/>
          <w:szCs w:val="32"/>
          <w:lang w:val="zh-CN"/>
        </w:rPr>
        <w:t>提供具有统一社会信用代码的营业执照（复印件加盖公章）；</w:t>
      </w:r>
    </w:p>
    <w:p w14:paraId="4340F74D">
      <w:pPr>
        <w:tabs>
          <w:tab w:val="left" w:pos="420"/>
        </w:tabs>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2、投标人提供202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年度完整的财务审计报告（复印件加盖公章，未完成审计须提供近期银行资信证明原件）；</w:t>
      </w:r>
    </w:p>
    <w:p w14:paraId="2E5C2E40">
      <w:pPr>
        <w:tabs>
          <w:tab w:val="left" w:pos="420"/>
        </w:tabs>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提供投标截止日前近半年内缴纳的任意一个月的任意一项税种（增值税、企业所得税等）的完税证明或缴纳凭证（未达到起征点的企业，须提供增值税或企业所得税纳税申报表）；依法免税的投标人，应提供相应的证明文件（复印件加盖公章）。</w:t>
      </w:r>
    </w:p>
    <w:p w14:paraId="21670898">
      <w:pPr>
        <w:tabs>
          <w:tab w:val="left" w:pos="420"/>
        </w:tabs>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4、提供投标截止日前近半年内任意一个月的缴纳社会保障资金的完税证明或缴纳凭证（复印件加盖公章），依法不需要缴纳社会保障资金的投标人，应提供相应的证明文件。</w:t>
      </w:r>
    </w:p>
    <w:p w14:paraId="08C183AB">
      <w:pPr>
        <w:tabs>
          <w:tab w:val="left" w:pos="420"/>
        </w:tabs>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5、参加政府采购活动前3年内在经营活动中没有重大违法记录</w:t>
      </w:r>
      <w:r>
        <w:rPr>
          <w:rFonts w:hint="eastAsia" w:ascii="仿宋_GB2312" w:hAnsi="仿宋_GB2312" w:eastAsia="仿宋_GB2312" w:cs="仿宋_GB2312"/>
          <w:color w:val="000000"/>
          <w:sz w:val="32"/>
          <w:szCs w:val="32"/>
        </w:rPr>
        <w:t>（提供声明函）</w:t>
      </w:r>
      <w:r>
        <w:rPr>
          <w:rFonts w:hint="eastAsia" w:ascii="仿宋_GB2312" w:hAnsi="仿宋_GB2312" w:eastAsia="仿宋_GB2312" w:cs="仿宋_GB2312"/>
          <w:sz w:val="32"/>
          <w:szCs w:val="32"/>
        </w:rPr>
        <w:t>。</w:t>
      </w:r>
    </w:p>
    <w:p w14:paraId="02E4DF70">
      <w:pPr>
        <w:tabs>
          <w:tab w:val="left" w:pos="420"/>
        </w:tabs>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投标人未被列入“信用中国”网站(www.creditchina.gov.cn)记录失信被执行人或重大税收违法案件当事人名单；不处于中国政府采购网(www.ccgp.gov.cn)政府采购严重违法失信行为信息记录名单中的禁止参加政府采购活动期间的方可参加本项目的投标（查询以本项目招标公告发布之日起至投标截止日前）在“信用中国”网站（www.creditchina.gov.cn）、中国政府采购网(www.ccgp.gov.cn)查询结果为准（提供以上相关网站截图且显示查询时间），如相关失信记录已失效，投标人需提供相关证明资料。</w:t>
      </w:r>
    </w:p>
    <w:p w14:paraId="215C7487">
      <w:pPr>
        <w:pStyle w:val="7"/>
        <w:widowControl/>
        <w:shd w:val="clear" w:color="auto" w:fill="FFFFFF"/>
        <w:wordWrap w:val="0"/>
        <w:spacing w:beforeAutospacing="0" w:afterAutospacing="0"/>
        <w:ind w:firstLine="640" w:firstLineChars="200"/>
        <w:rPr>
          <w:rFonts w:ascii="仿宋" w:hAnsi="仿宋" w:eastAsia="仿宋" w:cs="仿宋"/>
          <w:sz w:val="32"/>
          <w:szCs w:val="32"/>
          <w:shd w:val="clear" w:color="auto" w:fill="FFFFFF"/>
        </w:rPr>
      </w:pPr>
      <w:r>
        <w:rPr>
          <w:rFonts w:hint="eastAsia" w:ascii="仿宋_GB2312" w:hAnsi="仿宋_GB2312" w:eastAsia="仿宋_GB2312" w:cs="仿宋_GB2312"/>
          <w:sz w:val="32"/>
          <w:szCs w:val="32"/>
        </w:rPr>
        <w:t>7、</w:t>
      </w:r>
      <w:r>
        <w:rPr>
          <w:rFonts w:hint="eastAsia" w:ascii="仿宋" w:hAnsi="仿宋" w:eastAsia="仿宋" w:cs="仿宋"/>
          <w:sz w:val="32"/>
          <w:szCs w:val="32"/>
          <w:shd w:val="clear" w:color="auto" w:fill="FFFFFF"/>
        </w:rPr>
        <w:t>须为甘肃省内注册的会计师事务所或造价咨询公司</w:t>
      </w:r>
      <w:r>
        <w:rPr>
          <w:rFonts w:hint="eastAsia" w:ascii="仿宋" w:hAnsi="仿宋" w:eastAsia="仿宋" w:cs="仿宋"/>
          <w:sz w:val="32"/>
          <w:szCs w:val="32"/>
          <w:shd w:val="clear" w:color="auto" w:fill="FFFFFF"/>
          <w:lang w:eastAsia="zh-CN"/>
        </w:rPr>
        <w:t>，</w:t>
      </w:r>
      <w:r>
        <w:rPr>
          <w:rFonts w:hint="eastAsia" w:ascii="仿宋" w:hAnsi="仿宋" w:eastAsia="仿宋" w:cs="仿宋"/>
          <w:i w:val="0"/>
          <w:iCs w:val="0"/>
          <w:caps w:val="0"/>
          <w:color w:val="auto"/>
          <w:spacing w:val="0"/>
          <w:sz w:val="32"/>
          <w:szCs w:val="32"/>
          <w:u w:val="none"/>
          <w:shd w:val="clear" w:fill="FFFFFF"/>
          <w:lang w:eastAsia="zh-CN"/>
        </w:rPr>
        <w:t>一级造价工程师</w:t>
      </w:r>
      <w:r>
        <w:rPr>
          <w:rFonts w:hint="eastAsia" w:ascii="仿宋" w:hAnsi="仿宋" w:eastAsia="仿宋" w:cs="仿宋"/>
          <w:i w:val="0"/>
          <w:iCs w:val="0"/>
          <w:caps w:val="0"/>
          <w:color w:val="auto"/>
          <w:spacing w:val="0"/>
          <w:sz w:val="32"/>
          <w:szCs w:val="32"/>
          <w:u w:val="none"/>
          <w:shd w:val="clear" w:fill="FFFFFF"/>
        </w:rPr>
        <w:t>人数不少于</w:t>
      </w:r>
      <w:r>
        <w:rPr>
          <w:rFonts w:hint="eastAsia" w:ascii="仿宋" w:hAnsi="仿宋" w:eastAsia="仿宋" w:cs="仿宋"/>
          <w:i w:val="0"/>
          <w:iCs w:val="0"/>
          <w:caps w:val="0"/>
          <w:color w:val="auto"/>
          <w:spacing w:val="0"/>
          <w:sz w:val="32"/>
          <w:szCs w:val="32"/>
          <w:u w:val="none"/>
          <w:shd w:val="clear" w:fill="FFFFFF"/>
          <w:lang w:val="en-US" w:eastAsia="zh-CN"/>
        </w:rPr>
        <w:t>5</w:t>
      </w:r>
      <w:r>
        <w:rPr>
          <w:rFonts w:hint="eastAsia" w:ascii="仿宋" w:hAnsi="仿宋" w:eastAsia="仿宋" w:cs="仿宋"/>
          <w:i w:val="0"/>
          <w:iCs w:val="0"/>
          <w:caps w:val="0"/>
          <w:color w:val="auto"/>
          <w:spacing w:val="0"/>
          <w:sz w:val="32"/>
          <w:szCs w:val="32"/>
          <w:u w:val="none"/>
          <w:shd w:val="clear" w:fill="FFFFFF"/>
        </w:rPr>
        <w:t>人</w:t>
      </w:r>
      <w:r>
        <w:rPr>
          <w:rFonts w:hint="eastAsia" w:ascii="仿宋" w:hAnsi="仿宋" w:eastAsia="仿宋" w:cs="仿宋"/>
          <w:sz w:val="32"/>
          <w:szCs w:val="32"/>
          <w:shd w:val="clear" w:color="auto" w:fill="FFFFFF"/>
        </w:rPr>
        <w:t>。</w:t>
      </w:r>
    </w:p>
    <w:p w14:paraId="72EF124B">
      <w:pPr>
        <w:pStyle w:val="7"/>
        <w:widowControl/>
        <w:shd w:val="clear" w:color="auto" w:fill="FFFFFF"/>
        <w:wordWrap w:val="0"/>
        <w:spacing w:beforeAutospacing="0" w:afterAutospacing="0"/>
        <w:ind w:firstLine="640" w:firstLineChars="200"/>
        <w:rPr>
          <w:rFonts w:ascii="仿宋" w:hAnsi="仿宋" w:eastAsia="仿宋" w:cs="仿宋"/>
          <w:sz w:val="32"/>
          <w:szCs w:val="32"/>
          <w:shd w:val="clear" w:color="auto" w:fill="FFFFFF"/>
        </w:rPr>
      </w:pPr>
      <w:r>
        <w:rPr>
          <w:rFonts w:hint="eastAsia" w:ascii="仿宋" w:hAnsi="仿宋" w:eastAsia="仿宋" w:cs="仿宋"/>
          <w:sz w:val="32"/>
          <w:szCs w:val="32"/>
          <w:shd w:val="clear" w:color="auto" w:fill="FFFFFF"/>
        </w:rPr>
        <w:t>8、具有履行合同所必需的设备和专业技术能力（具有与本次采购内容相符的人员、设备）投入兰州现代职业学院预算审核的专业人员不少于</w:t>
      </w:r>
      <w:r>
        <w:rPr>
          <w:rFonts w:hint="eastAsia" w:ascii="仿宋" w:hAnsi="仿宋" w:eastAsia="仿宋" w:cs="仿宋"/>
          <w:sz w:val="32"/>
          <w:szCs w:val="32"/>
          <w:shd w:val="clear" w:color="auto" w:fill="FFFFFF"/>
          <w:lang w:val="en-US" w:eastAsia="zh-CN"/>
        </w:rPr>
        <w:t>4</w:t>
      </w:r>
      <w:r>
        <w:rPr>
          <w:rFonts w:hint="eastAsia" w:ascii="仿宋" w:hAnsi="仿宋" w:eastAsia="仿宋" w:cs="仿宋"/>
          <w:sz w:val="32"/>
          <w:szCs w:val="32"/>
          <w:shd w:val="clear" w:color="auto" w:fill="FFFFFF"/>
        </w:rPr>
        <w:t>人，有专人负责，负责人须在本机构工作三年以上。</w:t>
      </w:r>
    </w:p>
    <w:p w14:paraId="37108313">
      <w:pPr>
        <w:pStyle w:val="2"/>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二、采购需求</w:t>
      </w:r>
    </w:p>
    <w:p w14:paraId="0F814BC5">
      <w:pPr>
        <w:spacing w:line="360" w:lineRule="auto"/>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zh-CN"/>
        </w:rPr>
        <w:t>负责</w:t>
      </w:r>
      <w:r>
        <w:rPr>
          <w:rFonts w:hint="eastAsia" w:ascii="仿宋_GB2312" w:hAnsi="仿宋_GB2312" w:eastAsia="仿宋_GB2312" w:cs="仿宋_GB2312"/>
          <w:kern w:val="0"/>
          <w:sz w:val="32"/>
          <w:szCs w:val="32"/>
        </w:rPr>
        <w:t>学院</w:t>
      </w:r>
      <w:r>
        <w:rPr>
          <w:rFonts w:hint="eastAsia" w:ascii="仿宋_GB2312" w:hAnsi="仿宋_GB2312" w:eastAsia="仿宋_GB2312" w:cs="仿宋_GB2312"/>
          <w:kern w:val="0"/>
          <w:sz w:val="32"/>
          <w:szCs w:val="32"/>
          <w:lang w:val="zh-CN"/>
        </w:rPr>
        <w:t>专业实训室设备、办公设备、节能设备、文化建设、</w:t>
      </w:r>
      <w:r>
        <w:rPr>
          <w:rFonts w:hint="eastAsia" w:ascii="仿宋_GB2312" w:hAnsi="仿宋_GB2312" w:eastAsia="仿宋_GB2312" w:cs="仿宋_GB2312"/>
          <w:kern w:val="0"/>
          <w:sz w:val="32"/>
          <w:szCs w:val="32"/>
          <w:lang w:val="en-US" w:eastAsia="zh-CN"/>
        </w:rPr>
        <w:t>基建维修</w:t>
      </w:r>
      <w:r>
        <w:rPr>
          <w:rFonts w:hint="eastAsia" w:ascii="仿宋_GB2312" w:hAnsi="仿宋_GB2312" w:eastAsia="仿宋_GB2312" w:cs="仿宋_GB2312"/>
          <w:kern w:val="0"/>
          <w:sz w:val="32"/>
          <w:szCs w:val="32"/>
          <w:lang w:val="zh-CN"/>
        </w:rPr>
        <w:t>等政府采购项目预算清单审核并编制预算清单控制价编制报告。</w:t>
      </w:r>
    </w:p>
    <w:p w14:paraId="6E446C33">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2.学院向预算审核机构提供项目预算编制数据及相关资料（必须的基础材料、数据及相关的资料）；如需现场收集整理资料或现场编制项目文件，学院免费提供配合和工作条件；学院负责项目咨询服务所涉及的外部关系的协调。 </w:t>
      </w:r>
    </w:p>
    <w:p w14:paraId="51F7E41A">
      <w:pPr>
        <w:spacing w:line="360" w:lineRule="auto"/>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3.预算审核机构</w:t>
      </w:r>
      <w:r>
        <w:rPr>
          <w:rFonts w:hint="eastAsia" w:ascii="仿宋_GB2312" w:hAnsi="仿宋_GB2312" w:eastAsia="仿宋_GB2312" w:cs="仿宋_GB2312"/>
          <w:kern w:val="0"/>
          <w:sz w:val="32"/>
          <w:szCs w:val="32"/>
          <w:lang w:val="zh-CN"/>
        </w:rPr>
        <w:t>需配备专业的服务团队负责我院项目的预算清单控制价编制工作，并指定专人负责</w:t>
      </w:r>
      <w:r>
        <w:rPr>
          <w:rFonts w:hint="eastAsia" w:ascii="仿宋_GB2312" w:hAnsi="仿宋_GB2312" w:eastAsia="仿宋_GB2312" w:cs="仿宋_GB2312"/>
          <w:kern w:val="0"/>
          <w:sz w:val="32"/>
          <w:szCs w:val="32"/>
        </w:rPr>
        <w:t>学院</w:t>
      </w:r>
      <w:r>
        <w:rPr>
          <w:rFonts w:hint="eastAsia" w:ascii="仿宋_GB2312" w:hAnsi="仿宋_GB2312" w:eastAsia="仿宋_GB2312" w:cs="仿宋_GB2312"/>
          <w:kern w:val="0"/>
          <w:sz w:val="32"/>
          <w:szCs w:val="32"/>
          <w:lang w:val="zh-CN"/>
        </w:rPr>
        <w:t>送审项目的管理和对接，服务团队成员至少三人及以上，团队成员应熟练掌握预算编制、资产评估、工程造价的相关法律法规、工作程序。</w:t>
      </w:r>
    </w:p>
    <w:p w14:paraId="2DF691CA">
      <w:pPr>
        <w:spacing w:line="360" w:lineRule="auto"/>
        <w:ind w:firstLine="640" w:firstLineChars="200"/>
        <w:rPr>
          <w:rFonts w:ascii="仿宋_GB2312" w:hAnsi="仿宋_GB2312" w:eastAsia="仿宋_GB2312" w:cs="仿宋_GB2312"/>
          <w:kern w:val="0"/>
          <w:sz w:val="32"/>
          <w:szCs w:val="32"/>
          <w:lang w:val="zh-CN"/>
        </w:rPr>
      </w:pPr>
      <w:r>
        <w:rPr>
          <w:rFonts w:hint="eastAsia" w:ascii="仿宋_GB2312" w:hAnsi="仿宋_GB2312" w:eastAsia="仿宋_GB2312" w:cs="仿宋_GB2312"/>
          <w:kern w:val="0"/>
          <w:sz w:val="32"/>
          <w:szCs w:val="32"/>
        </w:rPr>
        <w:t>4.预算清单控制价编制工作须在送审之日起5个工作日完成，因项目专业性强、询价过程复杂的项目可适当延长报告编制时间，但不得影响学院使用时效。</w:t>
      </w:r>
    </w:p>
    <w:p w14:paraId="6743ABC7">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5.预算清单控制价编制工作，不计项目个数，不能因项目金额小拒绝审核。</w:t>
      </w:r>
    </w:p>
    <w:p w14:paraId="2A21D061">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6.项目预算清单控制价报告应符合国家有关政策法规及颁发的技术标准和规范。</w:t>
      </w:r>
    </w:p>
    <w:p w14:paraId="6E43DFF8">
      <w:pPr>
        <w:tabs>
          <w:tab w:val="left" w:pos="420"/>
        </w:tabs>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7.乙方工作人员应遵守职业道德，勤奋工作，为甲方提供科学可行的文件资料。</w:t>
      </w:r>
    </w:p>
    <w:p w14:paraId="3CF418EB">
      <w:pPr>
        <w:tabs>
          <w:tab w:val="left" w:pos="420"/>
        </w:tabs>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w:t>
      </w:r>
      <w:r>
        <w:rPr>
          <w:rFonts w:hint="eastAsia" w:ascii="仿宋_GB2312" w:hAnsi="仿宋_GB2312" w:eastAsia="仿宋_GB2312" w:cs="仿宋_GB2312"/>
          <w:color w:val="000000"/>
          <w:sz w:val="32"/>
          <w:szCs w:val="32"/>
        </w:rPr>
        <w:t>要求在兰州市内有固定的办公场所，具有履行业务所必需的硬件设备。（提供办公场地租赁合同或产权证明，并能接受实地考察）。</w:t>
      </w:r>
    </w:p>
    <w:p w14:paraId="7B6CB188">
      <w:pPr>
        <w:tabs>
          <w:tab w:val="left" w:pos="420"/>
        </w:tabs>
        <w:spacing w:line="360" w:lineRule="auto"/>
        <w:ind w:firstLine="640" w:firstLineChars="200"/>
        <w:rPr>
          <w:rFonts w:ascii="仿宋_GB2312" w:hAnsi="仿宋_GB2312" w:eastAsia="仿宋_GB2312" w:cs="仿宋_GB2312"/>
          <w:sz w:val="32"/>
          <w:szCs w:val="32"/>
        </w:rPr>
      </w:pPr>
      <w:r>
        <w:rPr>
          <w:rFonts w:hint="eastAsia" w:ascii="仿宋" w:hAnsi="仿宋" w:eastAsia="仿宋" w:cs="仿宋"/>
          <w:sz w:val="32"/>
          <w:szCs w:val="32"/>
          <w:shd w:val="clear" w:color="auto" w:fill="FFFFFF"/>
        </w:rPr>
        <w:t>9、具有202</w:t>
      </w:r>
      <w:r>
        <w:rPr>
          <w:rFonts w:hint="eastAsia" w:ascii="仿宋" w:hAnsi="仿宋" w:eastAsia="仿宋" w:cs="仿宋"/>
          <w:sz w:val="32"/>
          <w:szCs w:val="32"/>
          <w:shd w:val="clear" w:color="auto" w:fill="FFFFFF"/>
          <w:lang w:val="en-US" w:eastAsia="zh-CN"/>
        </w:rPr>
        <w:t>3</w:t>
      </w:r>
      <w:r>
        <w:rPr>
          <w:rFonts w:hint="eastAsia" w:ascii="仿宋" w:hAnsi="仿宋" w:eastAsia="仿宋" w:cs="仿宋"/>
          <w:sz w:val="32"/>
          <w:szCs w:val="32"/>
          <w:shd w:val="clear" w:color="auto" w:fill="FFFFFF"/>
        </w:rPr>
        <w:t>年以来的类似项目业绩；</w:t>
      </w:r>
    </w:p>
    <w:p w14:paraId="13E39729">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10.投标人递交响应文件正本1套，电子版（响应文件签字盖章后扫描件PDF）1份。</w:t>
      </w:r>
    </w:p>
    <w:p w14:paraId="1D2AB0FA">
      <w:pPr>
        <w:pStyle w:val="2"/>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三、编制依据的技术规范与标准</w:t>
      </w:r>
    </w:p>
    <w:p w14:paraId="09D41953">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1.有关国家、地区和行业的工程技术、经济方面的法律、法规、标准定额资料。</w:t>
      </w:r>
    </w:p>
    <w:p w14:paraId="28DC48F7">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2.由国家颁布的建设项目可行性研究及经济评价的有关规定。</w:t>
      </w:r>
    </w:p>
    <w:p w14:paraId="25E7EDF8">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3.甲方提供的编制项目预算控制价报告的基础材料。</w:t>
      </w:r>
    </w:p>
    <w:p w14:paraId="4DA10C73">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4.编制概算、预算、结算、竣工结（决）算的规范依据。</w:t>
      </w:r>
    </w:p>
    <w:p w14:paraId="36676AF3">
      <w:pPr>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5.编制可行性研究报告造价计价依据及当时当地提供有关工程造价信息资料等。</w:t>
      </w:r>
    </w:p>
    <w:p w14:paraId="387EB795">
      <w:pPr>
        <w:pStyle w:val="2"/>
        <w:spacing w:line="360" w:lineRule="auto"/>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6.其他编制项目预算控制价报告的资料。</w:t>
      </w:r>
    </w:p>
    <w:p w14:paraId="705597A8">
      <w:pPr>
        <w:pStyle w:val="2"/>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四、评标办法</w:t>
      </w:r>
    </w:p>
    <w:p w14:paraId="1EA801A4">
      <w:pPr>
        <w:pStyle w:val="8"/>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本项目评审分两个阶段，第一阶段：响应文件评审；第二阶段：现场考察。</w:t>
      </w:r>
    </w:p>
    <w:p w14:paraId="2E53C2ED">
      <w:pPr>
        <w:pStyle w:val="8"/>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对参与遴选的预算审核机构递交的响应文件进行综合打分，得分排名前3名的预算审核机构进入第二阶段；学院将电话通知具体现场考察时间，实地考察后对3家公司进行二次打分。第一阶段、第二阶段得分汇总后，排名第1的预算审核机构即确定为中标单位，中标结果在兰州现代职业学院网站公布。</w:t>
      </w:r>
    </w:p>
    <w:p w14:paraId="5E69C979">
      <w:pPr>
        <w:pStyle w:val="8"/>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1.响应文件打分</w:t>
      </w:r>
    </w:p>
    <w:tbl>
      <w:tblPr>
        <w:tblStyle w:val="9"/>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1270"/>
        <w:gridCol w:w="6360"/>
      </w:tblGrid>
      <w:tr w14:paraId="415C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423" w:type="dxa"/>
            <w:vAlign w:val="center"/>
          </w:tcPr>
          <w:p w14:paraId="1B631CD2">
            <w:pPr>
              <w:adjustRightInd w:val="0"/>
              <w:snapToGrid w:val="0"/>
              <w:spacing w:line="360" w:lineRule="auto"/>
              <w:jc w:val="center"/>
              <w:rPr>
                <w:rFonts w:ascii="宋体" w:hAnsi="宋体" w:eastAsia="宋体" w:cs="宋体"/>
                <w:b/>
                <w:sz w:val="24"/>
              </w:rPr>
            </w:pPr>
            <w:r>
              <w:rPr>
                <w:rFonts w:hint="eastAsia" w:ascii="宋体" w:hAnsi="宋体" w:eastAsia="宋体" w:cs="宋体"/>
                <w:b/>
                <w:sz w:val="24"/>
              </w:rPr>
              <w:t>评分项目</w:t>
            </w:r>
          </w:p>
        </w:tc>
        <w:tc>
          <w:tcPr>
            <w:tcW w:w="1270" w:type="dxa"/>
            <w:vAlign w:val="center"/>
          </w:tcPr>
          <w:p w14:paraId="4455736A">
            <w:pPr>
              <w:adjustRightInd w:val="0"/>
              <w:snapToGrid w:val="0"/>
              <w:spacing w:line="360" w:lineRule="auto"/>
              <w:jc w:val="center"/>
              <w:rPr>
                <w:rFonts w:ascii="宋体" w:hAnsi="宋体" w:eastAsia="宋体" w:cs="宋体"/>
                <w:b/>
                <w:sz w:val="24"/>
              </w:rPr>
            </w:pPr>
            <w:r>
              <w:rPr>
                <w:rFonts w:hint="eastAsia" w:ascii="宋体" w:hAnsi="宋体" w:eastAsia="宋体" w:cs="宋体"/>
                <w:b/>
                <w:sz w:val="24"/>
              </w:rPr>
              <w:t>分值</w:t>
            </w:r>
          </w:p>
        </w:tc>
        <w:tc>
          <w:tcPr>
            <w:tcW w:w="6360" w:type="dxa"/>
            <w:vAlign w:val="center"/>
          </w:tcPr>
          <w:p w14:paraId="1D397C28">
            <w:pPr>
              <w:adjustRightInd w:val="0"/>
              <w:snapToGrid w:val="0"/>
              <w:spacing w:line="360" w:lineRule="auto"/>
              <w:jc w:val="center"/>
              <w:rPr>
                <w:rFonts w:ascii="宋体" w:hAnsi="宋体" w:eastAsia="宋体" w:cs="宋体"/>
                <w:b/>
                <w:sz w:val="24"/>
              </w:rPr>
            </w:pPr>
            <w:r>
              <w:rPr>
                <w:rFonts w:hint="eastAsia" w:ascii="宋体" w:hAnsi="宋体" w:eastAsia="宋体" w:cs="宋体"/>
                <w:b/>
                <w:sz w:val="24"/>
              </w:rPr>
              <w:t>评分标准</w:t>
            </w:r>
          </w:p>
        </w:tc>
      </w:tr>
      <w:tr w14:paraId="429E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423" w:type="dxa"/>
            <w:vAlign w:val="center"/>
          </w:tcPr>
          <w:p w14:paraId="1FF4AD40">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价格部分</w:t>
            </w:r>
          </w:p>
          <w:p w14:paraId="08A740E0">
            <w:pPr>
              <w:pStyle w:val="13"/>
              <w:jc w:val="center"/>
              <w:rPr>
                <w:bCs/>
              </w:rPr>
            </w:pPr>
            <w:r>
              <w:rPr>
                <w:rFonts w:hint="eastAsia" w:hAnsi="宋体"/>
                <w:bCs/>
                <w:color w:val="auto"/>
              </w:rPr>
              <w:t>（20分）</w:t>
            </w:r>
          </w:p>
        </w:tc>
        <w:tc>
          <w:tcPr>
            <w:tcW w:w="1270" w:type="dxa"/>
            <w:vAlign w:val="center"/>
          </w:tcPr>
          <w:p w14:paraId="137095F0">
            <w:pPr>
              <w:adjustRightInd w:val="0"/>
              <w:snapToGrid w:val="0"/>
              <w:spacing w:line="360" w:lineRule="auto"/>
              <w:jc w:val="center"/>
              <w:rPr>
                <w:rFonts w:ascii="宋体" w:hAnsi="宋体" w:eastAsia="宋体" w:cs="宋体"/>
                <w:bCs/>
                <w:sz w:val="24"/>
              </w:rPr>
            </w:pPr>
            <w:r>
              <w:rPr>
                <w:rFonts w:hint="eastAsia" w:ascii="宋体" w:hAnsi="宋体" w:eastAsia="宋体" w:cs="宋体"/>
                <w:bCs/>
                <w:sz w:val="24"/>
              </w:rPr>
              <w:t>20分</w:t>
            </w:r>
          </w:p>
        </w:tc>
        <w:tc>
          <w:tcPr>
            <w:tcW w:w="6360" w:type="dxa"/>
            <w:vAlign w:val="center"/>
          </w:tcPr>
          <w:p w14:paraId="17BBF508">
            <w:pPr>
              <w:adjustRightInd w:val="0"/>
              <w:snapToGrid w:val="0"/>
              <w:spacing w:line="360" w:lineRule="auto"/>
              <w:rPr>
                <w:rFonts w:ascii="宋体" w:hAnsi="宋体" w:eastAsia="宋体" w:cs="宋体"/>
                <w:color w:val="000000"/>
                <w:kern w:val="0"/>
                <w:szCs w:val="21"/>
              </w:rPr>
            </w:pPr>
            <w:r>
              <w:rPr>
                <w:rFonts w:hint="eastAsia" w:ascii="宋体" w:hAnsi="宋体" w:eastAsia="宋体" w:cs="宋体"/>
                <w:color w:val="000000"/>
                <w:kern w:val="0"/>
                <w:szCs w:val="21"/>
              </w:rPr>
              <w:t>1、学院设备控制价审核预算为0</w:t>
            </w:r>
            <w:r>
              <w:rPr>
                <w:rFonts w:ascii="宋体" w:hAnsi="宋体" w:eastAsia="宋体" w:cs="宋体"/>
                <w:color w:val="000000"/>
                <w:kern w:val="0"/>
                <w:szCs w:val="21"/>
              </w:rPr>
              <w:t>.3%</w:t>
            </w:r>
            <w:r>
              <w:rPr>
                <w:rFonts w:hint="eastAsia" w:ascii="宋体" w:hAnsi="宋体" w:eastAsia="宋体" w:cs="宋体"/>
                <w:color w:val="000000"/>
                <w:kern w:val="0"/>
                <w:szCs w:val="21"/>
              </w:rPr>
              <w:t>，在此基础上下浮报价。（1</w:t>
            </w:r>
            <w:r>
              <w:rPr>
                <w:rFonts w:ascii="宋体" w:hAnsi="宋体" w:eastAsia="宋体" w:cs="宋体"/>
                <w:color w:val="000000"/>
                <w:kern w:val="0"/>
                <w:szCs w:val="21"/>
              </w:rPr>
              <w:t>0</w:t>
            </w:r>
            <w:r>
              <w:rPr>
                <w:rFonts w:hint="eastAsia" w:ascii="宋体" w:hAnsi="宋体" w:eastAsia="宋体" w:cs="宋体"/>
                <w:color w:val="000000"/>
                <w:kern w:val="0"/>
                <w:szCs w:val="21"/>
              </w:rPr>
              <w:t>分）</w:t>
            </w:r>
          </w:p>
          <w:p w14:paraId="67467BDB">
            <w:pPr>
              <w:adjustRightInd w:val="0"/>
              <w:snapToGrid w:val="0"/>
              <w:spacing w:line="360" w:lineRule="auto"/>
              <w:rPr>
                <w:rFonts w:ascii="宋体" w:hAnsi="宋体" w:eastAsia="宋体" w:cs="宋体"/>
                <w:color w:val="000000"/>
                <w:kern w:val="0"/>
                <w:szCs w:val="21"/>
              </w:rPr>
            </w:pPr>
            <w:r>
              <w:rPr>
                <w:rFonts w:hint="eastAsia" w:ascii="宋体" w:hAnsi="宋体" w:eastAsia="宋体" w:cs="宋体"/>
                <w:color w:val="000000"/>
                <w:kern w:val="0"/>
                <w:szCs w:val="21"/>
              </w:rPr>
              <w:t>2、工程建设控制价审核按（关于印发《甘肃省建设工程造价咨询服务项目及收费指引（试行）》的通知）（甘价协〔2022〕32号）基础上按下浮率报价。（1</w:t>
            </w:r>
            <w:r>
              <w:rPr>
                <w:rFonts w:ascii="宋体" w:hAnsi="宋体" w:eastAsia="宋体" w:cs="宋体"/>
                <w:color w:val="000000"/>
                <w:kern w:val="0"/>
                <w:szCs w:val="21"/>
              </w:rPr>
              <w:t>0</w:t>
            </w:r>
            <w:r>
              <w:rPr>
                <w:rFonts w:hint="eastAsia" w:ascii="宋体" w:hAnsi="宋体" w:eastAsia="宋体" w:cs="宋体"/>
                <w:color w:val="000000"/>
                <w:kern w:val="0"/>
                <w:szCs w:val="21"/>
              </w:rPr>
              <w:t>分）</w:t>
            </w:r>
          </w:p>
          <w:p w14:paraId="6134D361">
            <w:pPr>
              <w:adjustRightInd w:val="0"/>
              <w:snapToGrid w:val="0"/>
              <w:spacing w:line="360" w:lineRule="auto"/>
              <w:rPr>
                <w:rFonts w:ascii="宋体" w:hAnsi="宋体" w:eastAsia="宋体" w:cs="宋体"/>
                <w:b/>
                <w:sz w:val="24"/>
              </w:rPr>
            </w:pPr>
            <w:r>
              <w:rPr>
                <w:rFonts w:hint="eastAsia" w:ascii="宋体" w:hAnsi="宋体" w:eastAsia="宋体" w:cs="宋体"/>
                <w:color w:val="000000"/>
                <w:kern w:val="0"/>
                <w:szCs w:val="21"/>
              </w:rPr>
              <w:t>在价格评分时，满足招标文件要求且投标报价最低的为评标基准价，其价格分为满分；其它供应商的价格分统一按照下列公式计算：</w:t>
            </w:r>
            <w:r>
              <w:rPr>
                <w:rFonts w:hint="eastAsia" w:ascii="宋体" w:hAnsi="宋体" w:eastAsia="宋体" w:cs="宋体"/>
                <w:b/>
                <w:bCs/>
                <w:color w:val="000000"/>
                <w:kern w:val="0"/>
                <w:szCs w:val="21"/>
              </w:rPr>
              <w:t>投标报价得分=（评标基准价/投标报价）×</w:t>
            </w:r>
            <w:r>
              <w:rPr>
                <w:rFonts w:ascii="宋体" w:hAnsi="宋体" w:eastAsia="宋体" w:cs="宋体"/>
                <w:b/>
                <w:bCs/>
                <w:color w:val="000000"/>
                <w:kern w:val="0"/>
                <w:szCs w:val="21"/>
              </w:rPr>
              <w:t>1</w:t>
            </w:r>
            <w:r>
              <w:rPr>
                <w:rFonts w:hint="eastAsia" w:ascii="宋体" w:hAnsi="宋体" w:eastAsia="宋体" w:cs="宋体"/>
                <w:b/>
                <w:bCs/>
                <w:color w:val="000000"/>
                <w:kern w:val="0"/>
                <w:szCs w:val="21"/>
              </w:rPr>
              <w:t>0</w:t>
            </w:r>
          </w:p>
        </w:tc>
      </w:tr>
      <w:tr w14:paraId="5C20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3" w:type="dxa"/>
            <w:vAlign w:val="center"/>
          </w:tcPr>
          <w:p w14:paraId="46CF9217">
            <w:pPr>
              <w:adjustRightInd w:val="0"/>
              <w:snapToGrid w:val="0"/>
              <w:spacing w:line="360" w:lineRule="auto"/>
              <w:jc w:val="center"/>
              <w:rPr>
                <w:rFonts w:ascii="宋体" w:hAnsi="宋体" w:cs="宋体"/>
                <w:sz w:val="24"/>
              </w:rPr>
            </w:pPr>
            <w:r>
              <w:rPr>
                <w:rFonts w:hint="eastAsia" w:ascii="宋体" w:hAnsi="宋体" w:cs="宋体"/>
                <w:sz w:val="24"/>
              </w:rPr>
              <w:t>商务部分</w:t>
            </w:r>
          </w:p>
          <w:p w14:paraId="24244ACF">
            <w:pPr>
              <w:adjustRightInd w:val="0"/>
              <w:snapToGrid w:val="0"/>
              <w:spacing w:line="360" w:lineRule="auto"/>
              <w:jc w:val="center"/>
              <w:rPr>
                <w:rFonts w:ascii="宋体" w:hAnsi="宋体" w:cs="宋体"/>
                <w:sz w:val="24"/>
              </w:rPr>
            </w:pPr>
            <w:r>
              <w:rPr>
                <w:rFonts w:hint="eastAsia" w:ascii="宋体" w:hAnsi="宋体" w:cs="宋体"/>
                <w:sz w:val="24"/>
              </w:rPr>
              <w:t>（10分）</w:t>
            </w:r>
          </w:p>
        </w:tc>
        <w:tc>
          <w:tcPr>
            <w:tcW w:w="1270" w:type="dxa"/>
            <w:vAlign w:val="center"/>
          </w:tcPr>
          <w:p w14:paraId="1F56A17F">
            <w:pPr>
              <w:adjustRightInd w:val="0"/>
              <w:snapToGrid w:val="0"/>
              <w:spacing w:line="360" w:lineRule="auto"/>
              <w:jc w:val="center"/>
              <w:rPr>
                <w:rFonts w:ascii="宋体" w:hAnsi="宋体" w:cs="宋体"/>
                <w:sz w:val="24"/>
              </w:rPr>
            </w:pPr>
            <w:r>
              <w:rPr>
                <w:rFonts w:hint="eastAsia" w:ascii="宋体" w:hAnsi="宋体" w:cs="宋体"/>
                <w:sz w:val="24"/>
              </w:rPr>
              <w:t>10分</w:t>
            </w:r>
          </w:p>
        </w:tc>
        <w:tc>
          <w:tcPr>
            <w:tcW w:w="6360" w:type="dxa"/>
            <w:vAlign w:val="center"/>
          </w:tcPr>
          <w:p w14:paraId="597E44C0">
            <w:pPr>
              <w:adjustRightInd w:val="0"/>
              <w:snapToGrid w:val="0"/>
              <w:spacing w:line="360" w:lineRule="auto"/>
              <w:jc w:val="left"/>
              <w:rPr>
                <w:rFonts w:ascii="宋体" w:hAnsi="宋体" w:eastAsia="宋体" w:cs="宋体"/>
                <w:sz w:val="24"/>
              </w:rPr>
            </w:pPr>
            <w:r>
              <w:rPr>
                <w:rFonts w:hint="eastAsia" w:ascii="宋体" w:hAnsi="宋体" w:eastAsia="宋体" w:cs="宋体"/>
                <w:sz w:val="24"/>
                <w:lang w:val="zh-CN"/>
              </w:rPr>
              <w:t>投标人提供</w:t>
            </w:r>
            <w:r>
              <w:rPr>
                <w:rFonts w:hint="eastAsia" w:ascii="宋体" w:hAnsi="宋体" w:cs="宋体"/>
                <w:sz w:val="24"/>
              </w:rPr>
              <w:t>202</w:t>
            </w:r>
            <w:r>
              <w:rPr>
                <w:rFonts w:hint="eastAsia" w:ascii="宋体" w:hAnsi="宋体" w:cs="宋体"/>
                <w:sz w:val="24"/>
                <w:lang w:val="en-US" w:eastAsia="zh-CN"/>
              </w:rPr>
              <w:t>3</w:t>
            </w:r>
            <w:r>
              <w:rPr>
                <w:rFonts w:hint="eastAsia" w:ascii="宋体" w:hAnsi="宋体" w:cs="宋体"/>
                <w:sz w:val="24"/>
              </w:rPr>
              <w:t>年以来类似</w:t>
            </w:r>
            <w:r>
              <w:rPr>
                <w:rFonts w:hint="eastAsia" w:ascii="宋体" w:hAnsi="宋体" w:eastAsia="宋体" w:cs="宋体"/>
                <w:sz w:val="24"/>
                <w:lang w:val="zh-CN"/>
              </w:rPr>
              <w:t>项目业绩，每提供一</w:t>
            </w:r>
            <w:r>
              <w:rPr>
                <w:rFonts w:hint="eastAsia" w:ascii="宋体" w:hAnsi="宋体" w:cs="宋体"/>
                <w:sz w:val="24"/>
              </w:rPr>
              <w:t>份</w:t>
            </w:r>
            <w:r>
              <w:rPr>
                <w:rFonts w:hint="eastAsia" w:ascii="宋体" w:hAnsi="宋体" w:eastAsia="宋体" w:cs="宋体"/>
                <w:sz w:val="24"/>
                <w:lang w:val="zh-CN"/>
              </w:rPr>
              <w:t>得</w:t>
            </w:r>
            <w:r>
              <w:rPr>
                <w:rFonts w:hint="eastAsia" w:ascii="宋体" w:hAnsi="宋体" w:cs="宋体"/>
                <w:sz w:val="24"/>
              </w:rPr>
              <w:t>2</w:t>
            </w:r>
            <w:r>
              <w:rPr>
                <w:rFonts w:hint="eastAsia" w:ascii="宋体" w:hAnsi="宋体" w:eastAsia="宋体" w:cs="宋体"/>
                <w:sz w:val="24"/>
                <w:lang w:val="zh-CN"/>
              </w:rPr>
              <w:t>分</w:t>
            </w:r>
            <w:r>
              <w:rPr>
                <w:rFonts w:hint="eastAsia" w:ascii="宋体" w:hAnsi="宋体" w:cs="宋体"/>
                <w:sz w:val="24"/>
                <w:lang w:val="zh-CN"/>
              </w:rPr>
              <w:t>，</w:t>
            </w:r>
            <w:r>
              <w:rPr>
                <w:rFonts w:hint="eastAsia" w:ascii="宋体" w:hAnsi="宋体" w:cs="宋体"/>
                <w:sz w:val="24"/>
              </w:rPr>
              <w:t>最高得10分。（以中标通知书或合同协议或政府采购网官方公示的中标/成交公告截图为准）</w:t>
            </w:r>
          </w:p>
        </w:tc>
      </w:tr>
      <w:tr w14:paraId="5CF39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1423" w:type="dxa"/>
            <w:vMerge w:val="restart"/>
            <w:vAlign w:val="center"/>
          </w:tcPr>
          <w:p w14:paraId="606CEB6E">
            <w:pPr>
              <w:adjustRightInd w:val="0"/>
              <w:snapToGrid w:val="0"/>
              <w:spacing w:line="360" w:lineRule="auto"/>
              <w:jc w:val="center"/>
              <w:rPr>
                <w:rFonts w:ascii="宋体" w:hAnsi="宋体" w:cs="宋体"/>
                <w:sz w:val="24"/>
              </w:rPr>
            </w:pPr>
            <w:r>
              <w:rPr>
                <w:rFonts w:hint="eastAsia" w:ascii="宋体" w:hAnsi="宋体" w:cs="宋体"/>
                <w:sz w:val="24"/>
              </w:rPr>
              <w:t>服务部分</w:t>
            </w:r>
          </w:p>
          <w:p w14:paraId="4D90BF84">
            <w:pPr>
              <w:adjustRightInd w:val="0"/>
              <w:snapToGrid w:val="0"/>
              <w:spacing w:line="360" w:lineRule="auto"/>
              <w:jc w:val="center"/>
              <w:rPr>
                <w:rFonts w:ascii="宋体" w:hAnsi="宋体" w:cs="宋体"/>
                <w:sz w:val="24"/>
              </w:rPr>
            </w:pPr>
            <w:r>
              <w:rPr>
                <w:rFonts w:hint="eastAsia" w:ascii="宋体" w:hAnsi="宋体" w:cs="宋体"/>
                <w:sz w:val="24"/>
              </w:rPr>
              <w:t>（70分）</w:t>
            </w:r>
          </w:p>
        </w:tc>
        <w:tc>
          <w:tcPr>
            <w:tcW w:w="1270" w:type="dxa"/>
            <w:vAlign w:val="center"/>
          </w:tcPr>
          <w:p w14:paraId="450FFBA7">
            <w:pPr>
              <w:adjustRightInd w:val="0"/>
              <w:snapToGrid w:val="0"/>
              <w:spacing w:line="360" w:lineRule="auto"/>
              <w:jc w:val="center"/>
              <w:rPr>
                <w:rFonts w:ascii="宋体" w:hAnsi="宋体" w:eastAsia="宋体" w:cs="宋体"/>
                <w:sz w:val="24"/>
              </w:rPr>
            </w:pPr>
            <w:r>
              <w:rPr>
                <w:rFonts w:hint="eastAsia" w:ascii="宋体" w:hAnsi="宋体" w:eastAsia="宋体" w:cs="宋体"/>
                <w:sz w:val="24"/>
              </w:rPr>
              <w:t>20分</w:t>
            </w:r>
          </w:p>
        </w:tc>
        <w:tc>
          <w:tcPr>
            <w:tcW w:w="6360" w:type="dxa"/>
            <w:vAlign w:val="center"/>
          </w:tcPr>
          <w:p w14:paraId="11360133">
            <w:pPr>
              <w:pStyle w:val="13"/>
              <w:spacing w:line="360" w:lineRule="auto"/>
              <w:rPr>
                <w:rFonts w:hAnsi="宋体"/>
                <w:snapToGrid w:val="0"/>
                <w:color w:val="auto"/>
              </w:rPr>
            </w:pPr>
            <w:r>
              <w:rPr>
                <w:rFonts w:hint="eastAsia" w:hAnsi="宋体"/>
                <w:snapToGrid w:val="0"/>
                <w:color w:val="auto"/>
              </w:rPr>
              <w:t>服务团队具有一级造价工程师</w:t>
            </w:r>
            <w:r>
              <w:rPr>
                <w:rFonts w:hAnsi="宋体"/>
                <w:snapToGrid w:val="0"/>
                <w:color w:val="auto"/>
              </w:rPr>
              <w:t>5</w:t>
            </w:r>
            <w:r>
              <w:rPr>
                <w:rFonts w:hint="eastAsia" w:hAnsi="宋体"/>
                <w:snapToGrid w:val="0"/>
                <w:color w:val="auto"/>
              </w:rPr>
              <w:t>名为基础分，每增加一名加1分，最多加5分。</w:t>
            </w:r>
            <w:bookmarkStart w:id="0" w:name="_GoBack"/>
            <w:bookmarkEnd w:id="0"/>
          </w:p>
          <w:p w14:paraId="182EB2D5">
            <w:pPr>
              <w:pStyle w:val="13"/>
              <w:spacing w:line="360" w:lineRule="auto"/>
              <w:rPr>
                <w:rFonts w:hAnsi="宋体"/>
                <w:snapToGrid w:val="0"/>
                <w:color w:val="auto"/>
              </w:rPr>
            </w:pPr>
            <w:r>
              <w:rPr>
                <w:rFonts w:hint="eastAsia" w:hAnsi="宋体"/>
                <w:snapToGrid w:val="0"/>
                <w:color w:val="auto"/>
              </w:rPr>
              <w:t>提供服务团队配置方案，服务团队人员配置合理、经验、分析能力强得10分；人员配置基本合理、经验、分析能力基本满足需求得6分；人员配置不合理、经验、分析能力弱得3分；人员配置不足不得分。</w:t>
            </w:r>
          </w:p>
          <w:p w14:paraId="528F4269">
            <w:pPr>
              <w:pStyle w:val="13"/>
              <w:spacing w:line="360" w:lineRule="auto"/>
              <w:rPr>
                <w:rFonts w:hAnsi="宋体"/>
                <w:color w:val="auto"/>
              </w:rPr>
            </w:pPr>
            <w:r>
              <w:rPr>
                <w:rFonts w:hint="eastAsia" w:hAnsi="宋体"/>
                <w:snapToGrid w:val="0"/>
                <w:color w:val="auto"/>
              </w:rPr>
              <w:t>（以相关专业资格证书和相关证明材料为依据）</w:t>
            </w:r>
          </w:p>
        </w:tc>
      </w:tr>
      <w:tr w14:paraId="2BD18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423" w:type="dxa"/>
            <w:vMerge w:val="continue"/>
            <w:vAlign w:val="center"/>
          </w:tcPr>
          <w:p w14:paraId="07DBDD3B">
            <w:pPr>
              <w:adjustRightInd w:val="0"/>
              <w:snapToGrid w:val="0"/>
              <w:spacing w:line="360" w:lineRule="auto"/>
              <w:jc w:val="center"/>
              <w:rPr>
                <w:rFonts w:ascii="宋体" w:hAnsi="宋体" w:cs="宋体"/>
                <w:sz w:val="24"/>
              </w:rPr>
            </w:pPr>
          </w:p>
        </w:tc>
        <w:tc>
          <w:tcPr>
            <w:tcW w:w="1270" w:type="dxa"/>
            <w:vAlign w:val="center"/>
          </w:tcPr>
          <w:p w14:paraId="18C2CE71">
            <w:pPr>
              <w:adjustRightInd w:val="0"/>
              <w:snapToGrid w:val="0"/>
              <w:spacing w:line="360" w:lineRule="auto"/>
              <w:jc w:val="center"/>
              <w:rPr>
                <w:rFonts w:ascii="宋体" w:hAnsi="宋体" w:eastAsia="宋体" w:cs="宋体"/>
                <w:sz w:val="24"/>
              </w:rPr>
            </w:pPr>
            <w:r>
              <w:rPr>
                <w:rFonts w:ascii="宋体" w:hAnsi="宋体" w:eastAsia="宋体" w:cs="宋体"/>
                <w:sz w:val="24"/>
              </w:rPr>
              <w:t>20</w:t>
            </w:r>
            <w:r>
              <w:rPr>
                <w:rFonts w:hint="eastAsia" w:ascii="宋体" w:hAnsi="宋体" w:eastAsia="宋体" w:cs="宋体"/>
                <w:sz w:val="24"/>
              </w:rPr>
              <w:t>分</w:t>
            </w:r>
          </w:p>
        </w:tc>
        <w:tc>
          <w:tcPr>
            <w:tcW w:w="6360" w:type="dxa"/>
            <w:vAlign w:val="center"/>
          </w:tcPr>
          <w:p w14:paraId="04768CC3">
            <w:pPr>
              <w:spacing w:line="360" w:lineRule="auto"/>
              <w:rPr>
                <w:rFonts w:ascii="宋体" w:hAnsi="宋体" w:eastAsia="宋体" w:cs="宋体"/>
                <w:sz w:val="24"/>
              </w:rPr>
            </w:pPr>
            <w:r>
              <w:rPr>
                <w:rFonts w:hint="eastAsia" w:ascii="宋体" w:hAnsi="宋体" w:cs="宋体"/>
                <w:sz w:val="24"/>
              </w:rPr>
              <w:t>服务方案：</w:t>
            </w:r>
          </w:p>
          <w:p w14:paraId="5302C1CC">
            <w:pPr>
              <w:adjustRightInd w:val="0"/>
              <w:snapToGrid w:val="0"/>
              <w:spacing w:line="360" w:lineRule="auto"/>
              <w:jc w:val="left"/>
              <w:rPr>
                <w:rFonts w:ascii="宋体" w:hAnsi="宋体" w:cs="宋体"/>
                <w:sz w:val="24"/>
              </w:rPr>
            </w:pPr>
            <w:r>
              <w:rPr>
                <w:rFonts w:hint="eastAsia" w:ascii="宋体" w:hAnsi="宋体" w:cs="宋体"/>
                <w:sz w:val="24"/>
              </w:rPr>
              <w:t>内容具体、合理性、准确性、编制方法的先进性。方案完整针对性强，具有可操作性得</w:t>
            </w:r>
            <w:r>
              <w:rPr>
                <w:rFonts w:ascii="宋体" w:hAnsi="宋体" w:cs="宋体"/>
                <w:sz w:val="24"/>
              </w:rPr>
              <w:t>20</w:t>
            </w:r>
            <w:r>
              <w:rPr>
                <w:rFonts w:hint="eastAsia" w:ascii="宋体" w:hAnsi="宋体" w:cs="宋体"/>
                <w:sz w:val="24"/>
              </w:rPr>
              <w:t>分；方案基本完整，具有一定的可操作性得1</w:t>
            </w:r>
            <w:r>
              <w:rPr>
                <w:rFonts w:ascii="宋体" w:hAnsi="宋体" w:cs="宋体"/>
                <w:sz w:val="24"/>
              </w:rPr>
              <w:t>0</w:t>
            </w:r>
            <w:r>
              <w:rPr>
                <w:rFonts w:hint="eastAsia" w:ascii="宋体" w:hAnsi="宋体" w:cs="宋体"/>
                <w:sz w:val="24"/>
              </w:rPr>
              <w:t>分；方案内容不完整，操作性不强得5分；不提供者不得分。</w:t>
            </w:r>
          </w:p>
        </w:tc>
      </w:tr>
      <w:tr w14:paraId="53E2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1423" w:type="dxa"/>
            <w:vMerge w:val="continue"/>
            <w:vAlign w:val="center"/>
          </w:tcPr>
          <w:p w14:paraId="2068A4FC">
            <w:pPr>
              <w:adjustRightInd w:val="0"/>
              <w:snapToGrid w:val="0"/>
              <w:spacing w:line="360" w:lineRule="auto"/>
              <w:jc w:val="center"/>
              <w:rPr>
                <w:rFonts w:ascii="宋体" w:hAnsi="宋体" w:eastAsia="宋体" w:cs="宋体"/>
                <w:sz w:val="24"/>
              </w:rPr>
            </w:pPr>
          </w:p>
        </w:tc>
        <w:tc>
          <w:tcPr>
            <w:tcW w:w="1270" w:type="dxa"/>
            <w:vAlign w:val="center"/>
          </w:tcPr>
          <w:p w14:paraId="698E2B8A">
            <w:pPr>
              <w:adjustRightInd w:val="0"/>
              <w:snapToGrid w:val="0"/>
              <w:spacing w:line="360" w:lineRule="auto"/>
              <w:jc w:val="center"/>
              <w:rPr>
                <w:rFonts w:ascii="宋体" w:hAnsi="宋体" w:eastAsia="宋体" w:cs="宋体"/>
                <w:sz w:val="24"/>
              </w:rPr>
            </w:pPr>
            <w:r>
              <w:rPr>
                <w:rFonts w:ascii="宋体" w:hAnsi="宋体" w:eastAsia="宋体" w:cs="宋体"/>
                <w:sz w:val="24"/>
              </w:rPr>
              <w:t>20</w:t>
            </w:r>
            <w:r>
              <w:rPr>
                <w:rFonts w:hint="eastAsia" w:ascii="宋体" w:hAnsi="宋体" w:eastAsia="宋体" w:cs="宋体"/>
                <w:sz w:val="24"/>
              </w:rPr>
              <w:t>分</w:t>
            </w:r>
          </w:p>
        </w:tc>
        <w:tc>
          <w:tcPr>
            <w:tcW w:w="6360" w:type="dxa"/>
            <w:vAlign w:val="center"/>
          </w:tcPr>
          <w:p w14:paraId="0E293EBA">
            <w:pPr>
              <w:pStyle w:val="13"/>
              <w:spacing w:line="360" w:lineRule="auto"/>
              <w:rPr>
                <w:rFonts w:hAnsi="宋体"/>
                <w:snapToGrid w:val="0"/>
                <w:color w:val="auto"/>
              </w:rPr>
            </w:pPr>
            <w:r>
              <w:rPr>
                <w:rFonts w:hint="eastAsia" w:hAnsi="宋体"/>
                <w:snapToGrid w:val="0"/>
                <w:color w:val="auto"/>
              </w:rPr>
              <w:t>质量保障措施：</w:t>
            </w:r>
          </w:p>
          <w:p w14:paraId="5F582722">
            <w:pPr>
              <w:pStyle w:val="13"/>
              <w:spacing w:line="360" w:lineRule="auto"/>
              <w:rPr>
                <w:rFonts w:hAnsi="宋体"/>
                <w:color w:val="auto"/>
              </w:rPr>
            </w:pPr>
            <w:r>
              <w:rPr>
                <w:rFonts w:hint="eastAsia" w:hAnsi="宋体"/>
                <w:snapToGrid w:val="0"/>
                <w:color w:val="auto"/>
              </w:rPr>
              <w:t>服务承诺完整，质量管理制度、</w:t>
            </w:r>
            <w:r>
              <w:rPr>
                <w:rFonts w:hint="eastAsia"/>
                <w:szCs w:val="21"/>
              </w:rPr>
              <w:t>保障措施及风险防范措施完善</w:t>
            </w:r>
            <w:r>
              <w:rPr>
                <w:rFonts w:hint="eastAsia" w:hAnsi="宋体"/>
                <w:snapToGrid w:val="0"/>
                <w:color w:val="auto"/>
              </w:rPr>
              <w:t>。方案完整、符合项目特点，完全满足项目需求，得2</w:t>
            </w:r>
            <w:r>
              <w:rPr>
                <w:rFonts w:hAnsi="宋体"/>
                <w:snapToGrid w:val="0"/>
                <w:color w:val="auto"/>
              </w:rPr>
              <w:t>0</w:t>
            </w:r>
            <w:r>
              <w:rPr>
                <w:rFonts w:hint="eastAsia" w:hAnsi="宋体"/>
                <w:snapToGrid w:val="0"/>
                <w:color w:val="auto"/>
              </w:rPr>
              <w:t>分；方案基本完整，基本满足项目需求，得1</w:t>
            </w:r>
            <w:r>
              <w:rPr>
                <w:rFonts w:hAnsi="宋体"/>
                <w:snapToGrid w:val="0"/>
                <w:color w:val="auto"/>
              </w:rPr>
              <w:t>0</w:t>
            </w:r>
            <w:r>
              <w:rPr>
                <w:rFonts w:hint="eastAsia" w:hAnsi="宋体"/>
                <w:snapToGrid w:val="0"/>
                <w:color w:val="auto"/>
              </w:rPr>
              <w:t>分；方案不完整，不能满足项目需求，得</w:t>
            </w:r>
            <w:r>
              <w:rPr>
                <w:rFonts w:hAnsi="宋体"/>
                <w:snapToGrid w:val="0"/>
                <w:color w:val="auto"/>
              </w:rPr>
              <w:t>5</w:t>
            </w:r>
            <w:r>
              <w:rPr>
                <w:rFonts w:hint="eastAsia" w:hAnsi="宋体"/>
                <w:snapToGrid w:val="0"/>
                <w:color w:val="auto"/>
              </w:rPr>
              <w:t>分；</w:t>
            </w:r>
            <w:r>
              <w:rPr>
                <w:rFonts w:hint="eastAsia" w:hAnsi="宋体"/>
                <w:color w:val="auto"/>
              </w:rPr>
              <w:t>不提供者不得分。</w:t>
            </w:r>
          </w:p>
        </w:tc>
      </w:tr>
      <w:tr w14:paraId="0640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1423" w:type="dxa"/>
            <w:vMerge w:val="continue"/>
            <w:vAlign w:val="center"/>
          </w:tcPr>
          <w:p w14:paraId="2427D6BE">
            <w:pPr>
              <w:adjustRightInd w:val="0"/>
              <w:snapToGrid w:val="0"/>
              <w:spacing w:line="360" w:lineRule="auto"/>
              <w:jc w:val="center"/>
              <w:rPr>
                <w:rFonts w:ascii="宋体" w:hAnsi="宋体" w:eastAsia="宋体" w:cs="宋体"/>
                <w:sz w:val="24"/>
              </w:rPr>
            </w:pPr>
          </w:p>
        </w:tc>
        <w:tc>
          <w:tcPr>
            <w:tcW w:w="1270" w:type="dxa"/>
            <w:vAlign w:val="center"/>
          </w:tcPr>
          <w:p w14:paraId="2765FEF5">
            <w:pPr>
              <w:adjustRightInd w:val="0"/>
              <w:snapToGrid w:val="0"/>
              <w:spacing w:line="360" w:lineRule="auto"/>
              <w:jc w:val="center"/>
              <w:rPr>
                <w:rFonts w:ascii="宋体" w:hAnsi="宋体" w:eastAsia="宋体" w:cs="宋体"/>
                <w:sz w:val="24"/>
              </w:rPr>
            </w:pPr>
            <w:r>
              <w:rPr>
                <w:rFonts w:hint="eastAsia" w:ascii="宋体" w:hAnsi="宋体" w:eastAsia="宋体" w:cs="宋体"/>
                <w:sz w:val="24"/>
              </w:rPr>
              <w:t>10分</w:t>
            </w:r>
          </w:p>
        </w:tc>
        <w:tc>
          <w:tcPr>
            <w:tcW w:w="6360" w:type="dxa"/>
            <w:vAlign w:val="center"/>
          </w:tcPr>
          <w:p w14:paraId="0EF2BEDF">
            <w:pPr>
              <w:pStyle w:val="13"/>
              <w:spacing w:line="360" w:lineRule="auto"/>
              <w:rPr>
                <w:rFonts w:hAnsi="宋体"/>
                <w:snapToGrid w:val="0"/>
                <w:color w:val="auto"/>
              </w:rPr>
            </w:pPr>
            <w:r>
              <w:rPr>
                <w:rFonts w:hint="eastAsia" w:hAnsi="宋体"/>
                <w:snapToGrid w:val="0"/>
                <w:color w:val="auto"/>
              </w:rPr>
              <w:t>推进计划：</w:t>
            </w:r>
          </w:p>
          <w:p w14:paraId="11911787">
            <w:pPr>
              <w:pStyle w:val="13"/>
              <w:spacing w:line="360" w:lineRule="auto"/>
              <w:rPr>
                <w:rFonts w:hAnsi="宋体"/>
                <w:snapToGrid w:val="0"/>
                <w:color w:val="auto"/>
              </w:rPr>
            </w:pPr>
            <w:r>
              <w:rPr>
                <w:rFonts w:hint="eastAsia"/>
                <w:szCs w:val="21"/>
              </w:rPr>
              <w:t>进度合理，时效性强得10分；进度基本合理，基本满足项目需求得6分，进度不合理，不能满足项目需求得3分，不提供不得分。</w:t>
            </w:r>
          </w:p>
        </w:tc>
      </w:tr>
    </w:tbl>
    <w:p w14:paraId="6D67ECEE">
      <w:pPr>
        <w:pStyle w:val="8"/>
        <w:ind w:firstLine="0"/>
        <w:jc w:val="center"/>
        <w:rPr>
          <w:rFonts w:hAnsi="宋体" w:eastAsia="宋体" w:cs="宋体"/>
          <w:sz w:val="28"/>
          <w:szCs w:val="28"/>
        </w:rPr>
      </w:pPr>
    </w:p>
    <w:p w14:paraId="46F966F6">
      <w:pPr>
        <w:pStyle w:val="8"/>
        <w:ind w:firstLine="0"/>
        <w:jc w:val="both"/>
        <w:rPr>
          <w:rFonts w:ascii="仿宋_GB2312" w:hAnsi="仿宋_GB2312" w:eastAsia="仿宋_GB2312" w:cs="仿宋_GB2312"/>
          <w:sz w:val="32"/>
          <w:szCs w:val="32"/>
        </w:rPr>
      </w:pPr>
    </w:p>
    <w:p w14:paraId="68EFD8FC">
      <w:pPr>
        <w:pStyle w:val="8"/>
        <w:spacing w:line="360" w:lineRule="auto"/>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2.现场勘查打分：招标人对响应文件得分前3名的</w:t>
      </w:r>
      <w:r>
        <w:rPr>
          <w:rFonts w:hint="eastAsia" w:ascii="仿宋_GB2312" w:hAnsi="仿宋_GB2312" w:eastAsia="仿宋_GB2312" w:cs="仿宋_GB2312"/>
          <w:sz w:val="32"/>
          <w:szCs w:val="32"/>
          <w:lang w:eastAsia="zh-CN"/>
        </w:rPr>
        <w:t>造价咨询服务</w:t>
      </w:r>
      <w:r>
        <w:rPr>
          <w:rFonts w:hint="eastAsia" w:ascii="仿宋_GB2312" w:hAnsi="仿宋_GB2312" w:eastAsia="仿宋_GB2312" w:cs="仿宋_GB2312"/>
          <w:sz w:val="32"/>
          <w:szCs w:val="32"/>
        </w:rPr>
        <w:t>机构实地考察。招标人保留事前事中或事后去参与方实地考察核实的权利，如有虚假不实情况，有权终止服务。</w:t>
      </w:r>
    </w:p>
    <w:p w14:paraId="546431C8">
      <w:pPr>
        <w:pStyle w:val="8"/>
        <w:ind w:firstLine="0"/>
        <w:jc w:val="both"/>
        <w:rPr>
          <w:rFonts w:hAnsi="宋体" w:eastAsia="宋体" w:cs="宋体"/>
          <w:sz w:val="28"/>
          <w:szCs w:val="28"/>
        </w:rPr>
      </w:pPr>
    </w:p>
    <w:tbl>
      <w:tblPr>
        <w:tblStyle w:val="9"/>
        <w:tblW w:w="90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1270"/>
        <w:gridCol w:w="6360"/>
      </w:tblGrid>
      <w:tr w14:paraId="40A3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423" w:type="dxa"/>
            <w:vAlign w:val="center"/>
          </w:tcPr>
          <w:p w14:paraId="22D6B7A0">
            <w:pPr>
              <w:adjustRightInd w:val="0"/>
              <w:snapToGrid w:val="0"/>
              <w:spacing w:line="360" w:lineRule="auto"/>
              <w:jc w:val="center"/>
              <w:rPr>
                <w:rFonts w:ascii="宋体" w:hAnsi="宋体" w:eastAsia="宋体" w:cs="宋体"/>
                <w:b/>
                <w:sz w:val="24"/>
              </w:rPr>
            </w:pPr>
            <w:r>
              <w:rPr>
                <w:rFonts w:hint="eastAsia" w:ascii="宋体" w:hAnsi="宋体" w:eastAsia="宋体" w:cs="宋体"/>
                <w:b/>
                <w:sz w:val="24"/>
              </w:rPr>
              <w:t>评分项目</w:t>
            </w:r>
          </w:p>
        </w:tc>
        <w:tc>
          <w:tcPr>
            <w:tcW w:w="1270" w:type="dxa"/>
            <w:vAlign w:val="center"/>
          </w:tcPr>
          <w:p w14:paraId="224F332B">
            <w:pPr>
              <w:adjustRightInd w:val="0"/>
              <w:snapToGrid w:val="0"/>
              <w:spacing w:line="360" w:lineRule="auto"/>
              <w:jc w:val="center"/>
              <w:rPr>
                <w:rFonts w:ascii="宋体" w:hAnsi="宋体" w:eastAsia="宋体" w:cs="宋体"/>
                <w:b/>
                <w:sz w:val="24"/>
              </w:rPr>
            </w:pPr>
            <w:r>
              <w:rPr>
                <w:rFonts w:hint="eastAsia" w:ascii="宋体" w:hAnsi="宋体" w:eastAsia="宋体" w:cs="宋体"/>
                <w:b/>
                <w:sz w:val="24"/>
              </w:rPr>
              <w:t>分值</w:t>
            </w:r>
          </w:p>
        </w:tc>
        <w:tc>
          <w:tcPr>
            <w:tcW w:w="6360" w:type="dxa"/>
            <w:vAlign w:val="center"/>
          </w:tcPr>
          <w:p w14:paraId="536ABB62">
            <w:pPr>
              <w:adjustRightInd w:val="0"/>
              <w:snapToGrid w:val="0"/>
              <w:spacing w:line="360" w:lineRule="auto"/>
              <w:jc w:val="center"/>
              <w:rPr>
                <w:rFonts w:ascii="宋体" w:hAnsi="宋体" w:eastAsia="宋体" w:cs="宋体"/>
                <w:b/>
                <w:sz w:val="24"/>
              </w:rPr>
            </w:pPr>
            <w:r>
              <w:rPr>
                <w:rFonts w:hint="eastAsia" w:ascii="宋体" w:hAnsi="宋体" w:eastAsia="宋体" w:cs="宋体"/>
                <w:b/>
                <w:sz w:val="24"/>
              </w:rPr>
              <w:t>评分标准</w:t>
            </w:r>
          </w:p>
        </w:tc>
      </w:tr>
      <w:tr w14:paraId="6E81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1423" w:type="dxa"/>
            <w:vAlign w:val="center"/>
          </w:tcPr>
          <w:p w14:paraId="59678332">
            <w:pPr>
              <w:adjustRightInd w:val="0"/>
              <w:snapToGrid w:val="0"/>
              <w:spacing w:line="360" w:lineRule="auto"/>
              <w:jc w:val="center"/>
              <w:rPr>
                <w:rFonts w:ascii="宋体" w:hAnsi="宋体" w:cs="宋体"/>
                <w:sz w:val="24"/>
              </w:rPr>
            </w:pPr>
            <w:r>
              <w:rPr>
                <w:rFonts w:hint="eastAsia" w:ascii="宋体" w:hAnsi="宋体" w:cs="宋体"/>
                <w:sz w:val="24"/>
              </w:rPr>
              <w:t>现场考察（20分）</w:t>
            </w:r>
          </w:p>
        </w:tc>
        <w:tc>
          <w:tcPr>
            <w:tcW w:w="1270" w:type="dxa"/>
            <w:vAlign w:val="center"/>
          </w:tcPr>
          <w:p w14:paraId="73210973">
            <w:pPr>
              <w:adjustRightInd w:val="0"/>
              <w:snapToGrid w:val="0"/>
              <w:spacing w:line="360" w:lineRule="auto"/>
              <w:jc w:val="center"/>
              <w:rPr>
                <w:rFonts w:ascii="宋体" w:hAnsi="宋体" w:cs="宋体"/>
                <w:sz w:val="24"/>
              </w:rPr>
            </w:pPr>
            <w:r>
              <w:rPr>
                <w:rFonts w:hAnsi="宋体" w:eastAsia="宋体" w:cs="宋体"/>
                <w:kern w:val="0"/>
                <w:sz w:val="24"/>
              </w:rPr>
              <w:t>硬件设施情况</w:t>
            </w:r>
          </w:p>
        </w:tc>
        <w:tc>
          <w:tcPr>
            <w:tcW w:w="6360" w:type="dxa"/>
            <w:vAlign w:val="center"/>
          </w:tcPr>
          <w:p w14:paraId="55747D62">
            <w:pPr>
              <w:pStyle w:val="13"/>
              <w:spacing w:line="360" w:lineRule="auto"/>
              <w:rPr>
                <w:rFonts w:hAnsi="宋体"/>
                <w:snapToGrid w:val="0"/>
                <w:color w:val="auto"/>
              </w:rPr>
            </w:pPr>
            <w:r>
              <w:rPr>
                <w:rFonts w:hint="eastAsia" w:hAnsi="宋体"/>
                <w:snapToGrid w:val="0"/>
                <w:color w:val="auto"/>
              </w:rPr>
              <w:t>实地考察内容：</w:t>
            </w:r>
          </w:p>
          <w:p w14:paraId="70FAF523">
            <w:pPr>
              <w:pStyle w:val="13"/>
              <w:spacing w:line="360" w:lineRule="auto"/>
              <w:rPr>
                <w:rFonts w:hAnsi="宋体"/>
                <w:snapToGrid w:val="0"/>
                <w:color w:val="auto"/>
              </w:rPr>
            </w:pPr>
            <w:r>
              <w:rPr>
                <w:rFonts w:hint="eastAsia" w:hAnsi="宋体"/>
                <w:snapToGrid w:val="0"/>
                <w:color w:val="auto"/>
              </w:rPr>
              <w:t>1.投标人是否拥有完善的办公场所（查看产权证明或租赁合同等材料）；</w:t>
            </w:r>
          </w:p>
          <w:p w14:paraId="669B2611">
            <w:pPr>
              <w:pStyle w:val="13"/>
              <w:spacing w:line="360" w:lineRule="auto"/>
              <w:rPr>
                <w:rFonts w:hAnsi="宋体"/>
                <w:snapToGrid w:val="0"/>
                <w:color w:val="auto"/>
              </w:rPr>
            </w:pPr>
            <w:r>
              <w:rPr>
                <w:rFonts w:hint="eastAsia" w:hAnsi="宋体"/>
                <w:snapToGrid w:val="0"/>
                <w:color w:val="auto"/>
              </w:rPr>
              <w:t>2.人员配备是否合理（公司管理制度、岗位职责、个人资格证书、社保证明等）；</w:t>
            </w:r>
          </w:p>
          <w:p w14:paraId="691038CF">
            <w:pPr>
              <w:pStyle w:val="13"/>
              <w:spacing w:line="360" w:lineRule="auto"/>
              <w:rPr>
                <w:rFonts w:hAnsi="宋体"/>
                <w:snapToGrid w:val="0"/>
                <w:color w:val="auto"/>
              </w:rPr>
            </w:pPr>
            <w:r>
              <w:rPr>
                <w:rFonts w:hint="eastAsia" w:hAnsi="宋体"/>
                <w:snapToGrid w:val="0"/>
                <w:color w:val="auto"/>
              </w:rPr>
              <w:t>3.硬件设施是否完善（日常办公设备、造价软件等）；</w:t>
            </w:r>
          </w:p>
          <w:p w14:paraId="2E6046D9">
            <w:pPr>
              <w:pStyle w:val="13"/>
              <w:spacing w:line="360" w:lineRule="auto"/>
              <w:rPr>
                <w:rFonts w:hAnsi="宋体"/>
                <w:snapToGrid w:val="0"/>
                <w:color w:val="auto"/>
              </w:rPr>
            </w:pPr>
            <w:r>
              <w:rPr>
                <w:rFonts w:hint="eastAsia" w:hAnsi="宋体"/>
                <w:snapToGrid w:val="0"/>
                <w:color w:val="auto"/>
              </w:rPr>
              <w:t>4.档案资料管理是否完善（是否具有独立的档案室、档案管理制度是否完善）等。</w:t>
            </w:r>
          </w:p>
          <w:p w14:paraId="3E8AD104">
            <w:pPr>
              <w:pStyle w:val="13"/>
              <w:spacing w:line="360" w:lineRule="auto"/>
              <w:rPr>
                <w:rFonts w:hAnsi="宋体"/>
                <w:color w:val="auto"/>
              </w:rPr>
            </w:pPr>
            <w:r>
              <w:rPr>
                <w:rFonts w:hint="eastAsia" w:hAnsi="宋体"/>
                <w:snapToGrid w:val="0"/>
                <w:color w:val="auto"/>
              </w:rPr>
              <w:t>内部管理制度完善，人员配备合理得20分；内部管理制度基本完善，人员配备基本合理得14分；内部管理制度不完善，人员配备基本合理得8分，内部管理制度不完善，人员配备不足得0分。</w:t>
            </w:r>
          </w:p>
        </w:tc>
      </w:tr>
    </w:tbl>
    <w:p w14:paraId="76323994">
      <w:pPr>
        <w:spacing w:line="500" w:lineRule="exact"/>
        <w:ind w:firstLine="560" w:firstLineChars="200"/>
        <w:rPr>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EC28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40A8D9">
                          <w:pPr>
                            <w:pStyle w:val="4"/>
                          </w:pPr>
                          <w:r>
                            <w:t xml:space="preserve">第 </w:t>
                          </w:r>
                          <w:r>
                            <w:fldChar w:fldCharType="begin"/>
                          </w:r>
                          <w:r>
                            <w:instrText xml:space="preserve"> PAGE  \* MERGEFORMAT </w:instrText>
                          </w:r>
                          <w:r>
                            <w:fldChar w:fldCharType="separate"/>
                          </w:r>
                          <w:r>
                            <w:t>3</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3140A8D9">
                    <w:pPr>
                      <w:pStyle w:val="4"/>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CAB7C">
    <w:pPr>
      <w:pStyle w:val="5"/>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jZTNmY2Q0YzczN2E5ZDMxNDRkNDc3MDc4NDVlNTYifQ=="/>
  </w:docVars>
  <w:rsids>
    <w:rsidRoot w:val="0081668E"/>
    <w:rsid w:val="00030B10"/>
    <w:rsid w:val="00094883"/>
    <w:rsid w:val="00670424"/>
    <w:rsid w:val="007B2636"/>
    <w:rsid w:val="0081668E"/>
    <w:rsid w:val="008A35D6"/>
    <w:rsid w:val="00992D9E"/>
    <w:rsid w:val="00B8141F"/>
    <w:rsid w:val="00D66CFB"/>
    <w:rsid w:val="00DF1AD3"/>
    <w:rsid w:val="0467550E"/>
    <w:rsid w:val="05241B93"/>
    <w:rsid w:val="0BA4205E"/>
    <w:rsid w:val="0BB62595"/>
    <w:rsid w:val="0D091293"/>
    <w:rsid w:val="10271B1A"/>
    <w:rsid w:val="164571F8"/>
    <w:rsid w:val="184400CE"/>
    <w:rsid w:val="1B175780"/>
    <w:rsid w:val="21E00583"/>
    <w:rsid w:val="2EB2464F"/>
    <w:rsid w:val="32355F7E"/>
    <w:rsid w:val="33A97578"/>
    <w:rsid w:val="33E40D4E"/>
    <w:rsid w:val="35294B31"/>
    <w:rsid w:val="37C75F07"/>
    <w:rsid w:val="38D26B93"/>
    <w:rsid w:val="390013DB"/>
    <w:rsid w:val="48E73BE2"/>
    <w:rsid w:val="490A422F"/>
    <w:rsid w:val="495C057F"/>
    <w:rsid w:val="4E4C5E5D"/>
    <w:rsid w:val="51E94F07"/>
    <w:rsid w:val="601E5301"/>
    <w:rsid w:val="62630AC5"/>
    <w:rsid w:val="6A9A00B0"/>
    <w:rsid w:val="7915391D"/>
    <w:rsid w:val="7A0F6A75"/>
    <w:rsid w:val="7BF751E8"/>
    <w:rsid w:val="7DE60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style>
  <w:style w:type="paragraph" w:styleId="3">
    <w:name w:val="Body Text"/>
    <w:basedOn w:val="1"/>
    <w:next w:val="1"/>
    <w:autoRedefine/>
    <w:qFormat/>
    <w:uiPriority w:val="99"/>
    <w:pPr>
      <w:snapToGrid w:val="0"/>
      <w:spacing w:line="300" w:lineRule="auto"/>
    </w:pPr>
    <w:rPr>
      <w:kern w:val="0"/>
      <w:sz w:val="24"/>
    </w:rPr>
  </w:style>
  <w:style w:type="paragraph" w:styleId="4">
    <w:name w:val="footer"/>
    <w:basedOn w:val="1"/>
    <w:autoRedefine/>
    <w:qFormat/>
    <w:uiPriority w:val="99"/>
    <w:pPr>
      <w:tabs>
        <w:tab w:val="center" w:pos="4153"/>
        <w:tab w:val="right" w:pos="8306"/>
      </w:tabs>
      <w:snapToGrid w:val="0"/>
      <w:jc w:val="left"/>
    </w:pPr>
    <w:rPr>
      <w:kern w:val="0"/>
      <w:sz w:val="18"/>
      <w:szCs w:val="18"/>
    </w:rPr>
  </w:style>
  <w:style w:type="paragraph" w:styleId="5">
    <w:name w:val="header"/>
    <w:basedOn w:val="1"/>
    <w:autoRedefine/>
    <w:qFormat/>
    <w:uiPriority w:val="99"/>
    <w:pPr>
      <w:tabs>
        <w:tab w:val="center" w:pos="4153"/>
        <w:tab w:val="right" w:pos="8306"/>
      </w:tabs>
      <w:snapToGrid w:val="0"/>
      <w:jc w:val="center"/>
    </w:pPr>
    <w:rPr>
      <w:kern w:val="0"/>
      <w:sz w:val="18"/>
      <w:szCs w:val="18"/>
    </w:rPr>
  </w:style>
  <w:style w:type="paragraph" w:styleId="6">
    <w:name w:val="toc 2"/>
    <w:basedOn w:val="1"/>
    <w:next w:val="1"/>
    <w:autoRedefine/>
    <w:qFormat/>
    <w:uiPriority w:val="99"/>
    <w:pPr>
      <w:ind w:left="420" w:leftChars="200"/>
    </w:pPr>
  </w:style>
  <w:style w:type="paragraph" w:styleId="7">
    <w:name w:val="Normal (Web)"/>
    <w:basedOn w:val="1"/>
    <w:autoRedefine/>
    <w:qFormat/>
    <w:uiPriority w:val="0"/>
    <w:pPr>
      <w:spacing w:beforeAutospacing="1" w:afterAutospacing="1"/>
      <w:jc w:val="left"/>
    </w:pPr>
    <w:rPr>
      <w:rFonts w:cs="Times New Roman"/>
      <w:kern w:val="0"/>
      <w:sz w:val="24"/>
    </w:rPr>
  </w:style>
  <w:style w:type="paragraph" w:styleId="8">
    <w:name w:val="Body Text First Indent"/>
    <w:basedOn w:val="3"/>
    <w:autoRedefine/>
    <w:qFormat/>
    <w:uiPriority w:val="0"/>
    <w:pPr>
      <w:autoSpaceDE w:val="0"/>
      <w:autoSpaceDN w:val="0"/>
      <w:adjustRightInd w:val="0"/>
      <w:ind w:firstLine="420"/>
      <w:jc w:val="left"/>
    </w:pPr>
    <w:rPr>
      <w:rFonts w:ascii="宋体"/>
      <w:sz w:val="20"/>
      <w:szCs w:val="20"/>
    </w:rPr>
  </w:style>
  <w:style w:type="character" w:styleId="11">
    <w:name w:val="Strong"/>
    <w:basedOn w:val="10"/>
    <w:autoRedefine/>
    <w:qFormat/>
    <w:uiPriority w:val="0"/>
    <w:rPr>
      <w:b/>
    </w:rPr>
  </w:style>
  <w:style w:type="character" w:styleId="12">
    <w:name w:val="Hyperlink"/>
    <w:basedOn w:val="10"/>
    <w:autoRedefine/>
    <w:qFormat/>
    <w:uiPriority w:val="0"/>
    <w:rPr>
      <w:color w:val="0000FF"/>
      <w:u w:val="single"/>
    </w:rPr>
  </w:style>
  <w:style w:type="paragraph" w:customStyle="1" w:styleId="13">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4">
    <w:name w:val="Table Paragraph"/>
    <w:basedOn w:val="1"/>
    <w:qFormat/>
    <w:uiPriority w:val="1"/>
    <w:rPr>
      <w:rFonts w:ascii="宋体" w:hAnsi="宋体" w:cs="宋体"/>
      <w:lang w:val="zh-CN" w:bidi="zh-CN"/>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2594</Words>
  <Characters>2731</Characters>
  <Lines>19</Lines>
  <Paragraphs>5</Paragraphs>
  <TotalTime>24</TotalTime>
  <ScaleCrop>false</ScaleCrop>
  <LinksUpToDate>false</LinksUpToDate>
  <CharactersWithSpaces>2732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2021-06-01T12:06:00Z</dcterms:created>
  <dc:creator>LZXDZYXY</dc:creator>
  <cp:lastModifiedBy>唐斌</cp:lastModifiedBy>
  <cp:lastPrinted>2024-08-24T07:45:00Z</cp:lastPrinted>
  <dcterms:modified xsi:type="dcterms:W3CDTF">2026-01-16T03:06:11Z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96EA1E4A753941608E80B245DB659981</vt:lpwstr>
  </property>
  <property fmtid="{D5CDD505-2E9C-101B-9397-08002B2CF9AE}" pid="4" name="KSOTemplateDocerSaveRecord">
    <vt:lpwstr>eyJoZGlkIjoiOGU5M2Y3YzQ2M2ZmMzM4YmNmODQ0OTRhMGQ5YWFiNGUiLCJ1c2VySWQiOiI4MDI0MzIwOTUifQ==</vt:lpwstr>
  </property>
</Properties>
</file>